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106" w:type="dxa"/>
        <w:tblLayout w:type="fixed"/>
        <w:tblLook w:val="00A0" w:firstRow="1" w:lastRow="0" w:firstColumn="1" w:lastColumn="0" w:noHBand="0" w:noVBand="0"/>
      </w:tblPr>
      <w:tblGrid>
        <w:gridCol w:w="10200"/>
      </w:tblGrid>
      <w:tr w:rsidR="00B7423E" w:rsidTr="00B7423E">
        <w:trPr>
          <w:trHeight w:val="560"/>
        </w:trPr>
        <w:tc>
          <w:tcPr>
            <w:tcW w:w="10200" w:type="dxa"/>
            <w:vAlign w:val="center"/>
            <w:hideMark/>
          </w:tcPr>
          <w:p w:rsidR="00B7423E" w:rsidRDefault="00B7423E">
            <w:pPr>
              <w:spacing w:after="0" w:line="240" w:lineRule="auto"/>
              <w:jc w:val="center"/>
              <w:rPr>
                <w:rFonts w:ascii="Cooper Black" w:hAnsi="Cooper Black" w:cs="Cooper Black"/>
                <w:b/>
                <w:bCs/>
                <w:color w:val="5F497A"/>
                <w:sz w:val="56"/>
                <w:szCs w:val="56"/>
              </w:rPr>
            </w:pPr>
            <w:r>
              <w:rPr>
                <w:rFonts w:ascii="Cooper Black" w:hAnsi="Cooper Black" w:cs="Cooper Black"/>
                <w:b/>
                <w:bCs/>
                <w:color w:val="5F497A"/>
                <w:sz w:val="56"/>
                <w:szCs w:val="56"/>
              </w:rPr>
              <w:t>Winchester City Council</w:t>
            </w:r>
          </w:p>
        </w:tc>
      </w:tr>
      <w:tr w:rsidR="00B7423E" w:rsidTr="00B7423E">
        <w:trPr>
          <w:trHeight w:val="1577"/>
        </w:trPr>
        <w:tc>
          <w:tcPr>
            <w:tcW w:w="10200" w:type="dxa"/>
            <w:vAlign w:val="center"/>
            <w:hideMark/>
          </w:tcPr>
          <w:p w:rsidR="00B7423E" w:rsidRDefault="00B7423E">
            <w:pPr>
              <w:spacing w:after="0" w:line="240" w:lineRule="auto"/>
              <w:jc w:val="center"/>
              <w:rPr>
                <w:noProof/>
                <w:lang w:eastAsia="en-GB"/>
              </w:rPr>
            </w:pPr>
            <w:r>
              <w:rPr>
                <w:rFonts w:cs="Calibri"/>
                <w:noProof/>
                <w:lang w:eastAsia="en-GB"/>
              </w:rPr>
              <w:drawing>
                <wp:anchor distT="0" distB="0" distL="114300" distR="114300" simplePos="0" relativeHeight="251659264" behindDoc="0" locked="0" layoutInCell="1" allowOverlap="1" wp14:anchorId="6403069E" wp14:editId="6321D89A">
                  <wp:simplePos x="0" y="0"/>
                  <wp:positionH relativeFrom="column">
                    <wp:align>center</wp:align>
                  </wp:positionH>
                  <wp:positionV relativeFrom="line">
                    <wp:align>center</wp:align>
                  </wp:positionV>
                  <wp:extent cx="1475740" cy="1353820"/>
                  <wp:effectExtent l="0" t="0" r="0" b="0"/>
                  <wp:wrapSquare wrapText="bothSides"/>
                  <wp:docPr id="2" name="Picture 2" descr="https://encrypted-tbn0.gstatic.com/images?q=tbn:ANd9GcSRLjDi51hwZF3Q5-Pw2AzK-Av2qKpencSRHo2aiCMljsu0W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RLjDi51hwZF3Q5-Pw2AzK-Av2qKpencSRHo2aiCMljsu0Wf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740" cy="1353820"/>
                          </a:xfrm>
                          <a:prstGeom prst="rect">
                            <a:avLst/>
                          </a:prstGeom>
                          <a:noFill/>
                        </pic:spPr>
                      </pic:pic>
                    </a:graphicData>
                  </a:graphic>
                  <wp14:sizeRelH relativeFrom="page">
                    <wp14:pctWidth>0</wp14:pctWidth>
                  </wp14:sizeRelH>
                  <wp14:sizeRelV relativeFrom="page">
                    <wp14:pctHeight>0</wp14:pctHeight>
                  </wp14:sizeRelV>
                </wp:anchor>
              </w:drawing>
            </w:r>
          </w:p>
        </w:tc>
      </w:tr>
      <w:tr w:rsidR="00B7423E" w:rsidTr="00B7423E">
        <w:trPr>
          <w:trHeight w:val="133"/>
        </w:trPr>
        <w:tc>
          <w:tcPr>
            <w:tcW w:w="10200" w:type="dxa"/>
            <w:vAlign w:val="center"/>
            <w:hideMark/>
          </w:tcPr>
          <w:p w:rsidR="00B7423E" w:rsidRDefault="00B7423E">
            <w:pPr>
              <w:spacing w:after="0" w:line="240" w:lineRule="auto"/>
              <w:jc w:val="center"/>
              <w:rPr>
                <w:rFonts w:ascii="Cooper Black" w:hAnsi="Cooper Black" w:cs="Cooper Black"/>
                <w:b/>
                <w:bCs/>
                <w:color w:val="5F497A"/>
                <w:sz w:val="56"/>
                <w:szCs w:val="56"/>
              </w:rPr>
            </w:pPr>
            <w:r>
              <w:rPr>
                <w:rFonts w:ascii="Cooper Black" w:hAnsi="Cooper Black" w:cs="Cooper Black"/>
                <w:b/>
                <w:bCs/>
                <w:color w:val="5F497A"/>
                <w:sz w:val="56"/>
                <w:szCs w:val="56"/>
              </w:rPr>
              <w:t>Results</w:t>
            </w:r>
          </w:p>
        </w:tc>
      </w:tr>
    </w:tbl>
    <w:p w:rsidR="00BD49E1" w:rsidRPr="00BD49E1" w:rsidRDefault="00BD49E1" w:rsidP="00BD49E1">
      <w:pPr>
        <w:shd w:val="clear" w:color="auto" w:fill="FFFFFF"/>
        <w:spacing w:before="100" w:beforeAutospacing="1" w:after="240" w:line="240" w:lineRule="auto"/>
        <w:jc w:val="center"/>
        <w:rPr>
          <w:rFonts w:ascii="Arial" w:hAnsi="Arial" w:cs="Arial"/>
          <w:b/>
          <w:sz w:val="24"/>
          <w:szCs w:val="24"/>
        </w:rPr>
      </w:pPr>
      <w:bookmarkStart w:id="0" w:name="_GoBack"/>
      <w:bookmarkEnd w:id="0"/>
      <w:r w:rsidRPr="00BD49E1">
        <w:rPr>
          <w:rFonts w:ascii="Arial" w:hAnsi="Arial" w:cs="Arial"/>
          <w:b/>
          <w:sz w:val="24"/>
          <w:szCs w:val="24"/>
        </w:rPr>
        <w:t>POPULATION</w:t>
      </w:r>
    </w:p>
    <w:p w:rsidR="00645F12" w:rsidRPr="00645F12" w:rsidRDefault="00FD60C6"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r>
        <w:rPr>
          <w:rFonts w:ascii="Arial" w:eastAsia="Times New Roman" w:hAnsi="Arial" w:cs="Arial"/>
          <w:color w:val="444444"/>
          <w:sz w:val="20"/>
          <w:szCs w:val="20"/>
          <w:lang w:val="en" w:eastAsia="en-GB"/>
        </w:rPr>
        <w:t xml:space="preserve">Between 2001 and 2011 Winchester’s population grew by 9,373 from 107,222 to </w:t>
      </w:r>
      <w:r w:rsidRPr="00FD60C6">
        <w:rPr>
          <w:rFonts w:ascii="Arial" w:eastAsia="Times New Roman" w:hAnsi="Arial" w:cs="Arial"/>
          <w:b/>
          <w:color w:val="444444"/>
          <w:sz w:val="20"/>
          <w:szCs w:val="20"/>
          <w:lang w:val="en" w:eastAsia="en-GB"/>
        </w:rPr>
        <w:t>116,595</w:t>
      </w:r>
      <w:r>
        <w:rPr>
          <w:rFonts w:ascii="Arial" w:eastAsia="Times New Roman" w:hAnsi="Arial" w:cs="Arial"/>
          <w:color w:val="444444"/>
          <w:sz w:val="20"/>
          <w:szCs w:val="20"/>
          <w:lang w:val="en" w:eastAsia="en-GB"/>
        </w:rPr>
        <w:t xml:space="preserve"> an increase of 8.7%, higher than the increase for England and Wales as a whole of 7.1%. The ratio of males to females changed from 49% male; 51% female (2001) to 48.5% male; 51.5% female (2011). </w:t>
      </w:r>
    </w:p>
    <w:p w:rsidR="00645F12" w:rsidRDefault="00645F12"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r w:rsidRPr="00645F12">
        <w:rPr>
          <w:rFonts w:ascii="Arial" w:eastAsia="Times New Roman" w:hAnsi="Arial" w:cs="Arial"/>
          <w:color w:val="444444"/>
          <w:sz w:val="20"/>
          <w:szCs w:val="20"/>
          <w:lang w:val="en" w:eastAsia="en-GB"/>
        </w:rPr>
        <w:t>The total number of households has increased by 3,762 (also 8.7%) from 43,138 to 46,900.</w:t>
      </w:r>
    </w:p>
    <w:p w:rsidR="00FD60C6" w:rsidRDefault="00FD60C6"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r>
        <w:rPr>
          <w:rFonts w:ascii="Arial" w:eastAsia="Times New Roman" w:hAnsi="Arial" w:cs="Arial"/>
          <w:color w:val="444444"/>
          <w:sz w:val="20"/>
          <w:szCs w:val="20"/>
          <w:lang w:val="en" w:eastAsia="en-GB"/>
        </w:rPr>
        <w:t xml:space="preserve">The age profile for Winchester is broadly similar to that for England &amp; Wales as a whole although </w:t>
      </w:r>
      <w:r w:rsidR="00DB4DB5">
        <w:rPr>
          <w:rFonts w:ascii="Arial" w:eastAsia="Times New Roman" w:hAnsi="Arial" w:cs="Arial"/>
          <w:color w:val="444444"/>
          <w:sz w:val="20"/>
          <w:szCs w:val="20"/>
          <w:lang w:val="en" w:eastAsia="en-GB"/>
        </w:rPr>
        <w:t xml:space="preserve">as a proportion </w:t>
      </w:r>
      <w:r>
        <w:rPr>
          <w:rFonts w:ascii="Arial" w:eastAsia="Times New Roman" w:hAnsi="Arial" w:cs="Arial"/>
          <w:color w:val="444444"/>
          <w:sz w:val="20"/>
          <w:szCs w:val="20"/>
          <w:lang w:val="en" w:eastAsia="en-GB"/>
        </w:rPr>
        <w:t>th</w:t>
      </w:r>
      <w:r w:rsidR="00DB4DB5">
        <w:rPr>
          <w:rFonts w:ascii="Arial" w:eastAsia="Times New Roman" w:hAnsi="Arial" w:cs="Arial"/>
          <w:color w:val="444444"/>
          <w:sz w:val="20"/>
          <w:szCs w:val="20"/>
          <w:lang w:val="en" w:eastAsia="en-GB"/>
        </w:rPr>
        <w:t>ere are slightly less 20 to 29 year olds and slightly more people aged 60 or more than in the general population. The average age in Winchester is also slightly higher at 40.9 compared to 39.4 for England &amp; Wales.</w:t>
      </w:r>
    </w:p>
    <w:p w:rsidR="00FD60C6" w:rsidRDefault="00FD60C6"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r>
        <w:rPr>
          <w:noProof/>
          <w:lang w:eastAsia="en-GB"/>
        </w:rPr>
        <w:drawing>
          <wp:inline distT="0" distB="0" distL="0" distR="0" wp14:anchorId="2D3519C7" wp14:editId="6723B5AF">
            <wp:extent cx="5731510" cy="3131511"/>
            <wp:effectExtent l="0" t="0" r="2159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6F8A" w:rsidRDefault="00CA6F8A"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CA6F8A" w:rsidRDefault="00CA6F8A"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Default="00BD49E1" w:rsidP="00FD60C6">
      <w:pPr>
        <w:shd w:val="clear" w:color="auto" w:fill="FFFFFF"/>
        <w:spacing w:before="100" w:beforeAutospacing="1" w:after="240" w:line="240" w:lineRule="auto"/>
        <w:rPr>
          <w:rFonts w:ascii="Arial" w:eastAsia="Times New Roman" w:hAnsi="Arial" w:cs="Arial"/>
          <w:color w:val="444444"/>
          <w:sz w:val="20"/>
          <w:szCs w:val="20"/>
          <w:lang w:val="en" w:eastAsia="en-GB"/>
        </w:rPr>
      </w:pPr>
    </w:p>
    <w:p w:rsidR="00BD49E1" w:rsidRPr="00BD49E1" w:rsidRDefault="00BD49E1" w:rsidP="00BD49E1">
      <w:pPr>
        <w:shd w:val="clear" w:color="auto" w:fill="FFFFFF"/>
        <w:spacing w:before="100" w:beforeAutospacing="1" w:after="240" w:line="240" w:lineRule="auto"/>
        <w:jc w:val="center"/>
        <w:rPr>
          <w:rFonts w:ascii="Arial" w:hAnsi="Arial" w:cs="Arial"/>
          <w:b/>
          <w:sz w:val="24"/>
          <w:szCs w:val="24"/>
        </w:rPr>
      </w:pPr>
      <w:r w:rsidRPr="00BD49E1">
        <w:rPr>
          <w:rFonts w:ascii="Arial" w:hAnsi="Arial" w:cs="Arial"/>
          <w:b/>
          <w:sz w:val="24"/>
          <w:szCs w:val="24"/>
        </w:rPr>
        <w:t>ECONOMIC ACTIVITY</w:t>
      </w:r>
    </w:p>
    <w:p w:rsidR="00CA6F8A" w:rsidRDefault="0047223D" w:rsidP="00FD60C6">
      <w:pPr>
        <w:shd w:val="clear" w:color="auto" w:fill="FFFFFF"/>
        <w:spacing w:before="100" w:beforeAutospacing="1" w:after="240" w:line="240" w:lineRule="auto"/>
        <w:rPr>
          <w:rFonts w:ascii="Arial" w:hAnsi="Arial" w:cs="Arial"/>
          <w:sz w:val="24"/>
          <w:szCs w:val="24"/>
        </w:rPr>
      </w:pPr>
      <w:r>
        <w:rPr>
          <w:noProof/>
          <w:lang w:eastAsia="en-GB"/>
        </w:rPr>
        <w:drawing>
          <wp:inline distT="0" distB="0" distL="0" distR="0" wp14:anchorId="7D7D83DC" wp14:editId="44654D0A">
            <wp:extent cx="5731510" cy="3879791"/>
            <wp:effectExtent l="0" t="0" r="21590"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0153" w:rsidRDefault="001A0153" w:rsidP="001A0153">
      <w:pPr>
        <w:shd w:val="clear" w:color="auto" w:fill="FFFFFF"/>
        <w:spacing w:before="100" w:beforeAutospacing="1" w:after="240" w:line="240" w:lineRule="auto"/>
        <w:jc w:val="both"/>
        <w:rPr>
          <w:rFonts w:ascii="Arial" w:hAnsi="Arial" w:cs="Arial"/>
          <w:sz w:val="24"/>
          <w:szCs w:val="24"/>
        </w:rPr>
      </w:pPr>
      <w:r>
        <w:rPr>
          <w:rFonts w:ascii="Arial" w:hAnsi="Arial" w:cs="Arial"/>
          <w:sz w:val="24"/>
          <w:szCs w:val="24"/>
        </w:rPr>
        <w:t>Although the figures from the 2011 census show that Winchester’s unemployment is approximately half of the England &amp; Wales rate, there are some significant differences in those who are unemployed.</w:t>
      </w:r>
    </w:p>
    <w:p w:rsidR="001A0153" w:rsidRPr="001A0153" w:rsidRDefault="001A0153" w:rsidP="001A0153">
      <w:pPr>
        <w:pStyle w:val="ListParagraph"/>
        <w:numPr>
          <w:ilvl w:val="0"/>
          <w:numId w:val="1"/>
        </w:numPr>
        <w:shd w:val="clear" w:color="auto" w:fill="FFFFFF"/>
        <w:spacing w:before="100" w:beforeAutospacing="1" w:after="240" w:line="240" w:lineRule="auto"/>
        <w:jc w:val="both"/>
        <w:rPr>
          <w:rFonts w:ascii="Arial" w:hAnsi="Arial" w:cs="Arial"/>
          <w:sz w:val="24"/>
          <w:szCs w:val="24"/>
        </w:rPr>
      </w:pPr>
      <w:r w:rsidRPr="001A0153">
        <w:rPr>
          <w:rFonts w:ascii="Arial" w:hAnsi="Arial" w:cs="Arial"/>
          <w:sz w:val="24"/>
          <w:szCs w:val="24"/>
        </w:rPr>
        <w:t xml:space="preserve">The </w:t>
      </w:r>
      <w:r w:rsidR="001D3CF5">
        <w:rPr>
          <w:rFonts w:ascii="Arial" w:hAnsi="Arial" w:cs="Arial"/>
          <w:sz w:val="24"/>
          <w:szCs w:val="24"/>
        </w:rPr>
        <w:t xml:space="preserve">proportion of </w:t>
      </w:r>
      <w:r w:rsidRPr="001A0153">
        <w:rPr>
          <w:rFonts w:ascii="Arial" w:hAnsi="Arial" w:cs="Arial"/>
          <w:sz w:val="24"/>
          <w:szCs w:val="24"/>
        </w:rPr>
        <w:t>unemployed over the age of 50 in Winchester is 25% higher than the national figure, whilst</w:t>
      </w:r>
    </w:p>
    <w:p w:rsidR="001A0153" w:rsidRPr="001A0153" w:rsidRDefault="001D3CF5" w:rsidP="001A0153">
      <w:pPr>
        <w:pStyle w:val="ListParagraph"/>
        <w:numPr>
          <w:ilvl w:val="0"/>
          <w:numId w:val="1"/>
        </w:numPr>
        <w:shd w:val="clear" w:color="auto" w:fill="FFFFFF"/>
        <w:spacing w:before="100" w:beforeAutospacing="1" w:after="240" w:line="240" w:lineRule="auto"/>
        <w:jc w:val="both"/>
        <w:rPr>
          <w:rFonts w:ascii="Arial" w:hAnsi="Arial" w:cs="Arial"/>
          <w:sz w:val="24"/>
          <w:szCs w:val="24"/>
        </w:rPr>
      </w:pPr>
      <w:r w:rsidRPr="001A0153">
        <w:rPr>
          <w:rFonts w:ascii="Arial" w:hAnsi="Arial" w:cs="Arial"/>
          <w:sz w:val="24"/>
          <w:szCs w:val="24"/>
        </w:rPr>
        <w:t>Those</w:t>
      </w:r>
      <w:r w:rsidR="001A0153" w:rsidRPr="001A0153">
        <w:rPr>
          <w:rFonts w:ascii="Arial" w:hAnsi="Arial" w:cs="Arial"/>
          <w:sz w:val="24"/>
          <w:szCs w:val="24"/>
        </w:rPr>
        <w:t xml:space="preserve"> who have never worked is about half the national average. This figure however has doubled since 2001.</w:t>
      </w:r>
    </w:p>
    <w:p w:rsidR="00CA6F8A" w:rsidRPr="001A0153" w:rsidRDefault="001A0153" w:rsidP="001A0153">
      <w:pPr>
        <w:pStyle w:val="ListParagraph"/>
        <w:numPr>
          <w:ilvl w:val="0"/>
          <w:numId w:val="1"/>
        </w:numPr>
        <w:shd w:val="clear" w:color="auto" w:fill="FFFFFF"/>
        <w:spacing w:before="100" w:beforeAutospacing="1" w:after="240" w:line="240" w:lineRule="auto"/>
        <w:jc w:val="both"/>
        <w:rPr>
          <w:rFonts w:ascii="Arial" w:hAnsi="Arial" w:cs="Arial"/>
          <w:sz w:val="24"/>
          <w:szCs w:val="24"/>
        </w:rPr>
      </w:pPr>
      <w:r w:rsidRPr="001A0153">
        <w:rPr>
          <w:rFonts w:ascii="Arial" w:hAnsi="Arial" w:cs="Arial"/>
          <w:sz w:val="24"/>
          <w:szCs w:val="24"/>
        </w:rPr>
        <w:t>The percentage of long term unemployed is similar to the nation figure, but this has also increased by approximately 60% since 2001.</w:t>
      </w:r>
    </w:p>
    <w:p w:rsidR="00CA6F8A" w:rsidRDefault="00CA6F8A" w:rsidP="00FD60C6">
      <w:pPr>
        <w:shd w:val="clear" w:color="auto" w:fill="FFFFFF"/>
        <w:spacing w:before="100" w:beforeAutospacing="1" w:after="240" w:line="240" w:lineRule="auto"/>
        <w:rPr>
          <w:rFonts w:ascii="Arial" w:hAnsi="Arial" w:cs="Arial"/>
          <w:sz w:val="24"/>
          <w:szCs w:val="24"/>
        </w:rPr>
      </w:pPr>
      <w:r>
        <w:rPr>
          <w:noProof/>
          <w:lang w:eastAsia="en-GB"/>
        </w:rPr>
        <w:lastRenderedPageBreak/>
        <w:drawing>
          <wp:inline distT="0" distB="0" distL="0" distR="0" wp14:anchorId="723D07D4" wp14:editId="57ACF64C">
            <wp:extent cx="5734050" cy="30384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5A2C" w:rsidRDefault="00EA5A2C" w:rsidP="00FD60C6">
      <w:pPr>
        <w:shd w:val="clear" w:color="auto" w:fill="FFFFFF"/>
        <w:spacing w:before="100" w:beforeAutospacing="1" w:after="240" w:line="240" w:lineRule="auto"/>
        <w:rPr>
          <w:rFonts w:ascii="Arial" w:hAnsi="Arial" w:cs="Arial"/>
          <w:sz w:val="24"/>
          <w:szCs w:val="24"/>
        </w:rPr>
      </w:pPr>
    </w:p>
    <w:p w:rsidR="00EA5A2C" w:rsidRPr="00BD49E1" w:rsidRDefault="00DC3568" w:rsidP="00BD49E1">
      <w:pPr>
        <w:shd w:val="clear" w:color="auto" w:fill="FFFFFF"/>
        <w:spacing w:before="100" w:beforeAutospacing="1" w:after="240" w:line="240" w:lineRule="auto"/>
        <w:jc w:val="center"/>
        <w:rPr>
          <w:rFonts w:ascii="Arial" w:hAnsi="Arial" w:cs="Arial"/>
          <w:b/>
          <w:sz w:val="24"/>
          <w:szCs w:val="24"/>
        </w:rPr>
      </w:pPr>
      <w:r w:rsidRPr="00BD49E1">
        <w:rPr>
          <w:rFonts w:ascii="Arial" w:hAnsi="Arial" w:cs="Arial"/>
          <w:b/>
          <w:sz w:val="24"/>
          <w:szCs w:val="24"/>
        </w:rPr>
        <w:t>EDUCATION</w:t>
      </w:r>
    </w:p>
    <w:p w:rsidR="00DC3568" w:rsidRDefault="00DC3568" w:rsidP="00FD60C6">
      <w:pPr>
        <w:shd w:val="clear" w:color="auto" w:fill="FFFFFF"/>
        <w:spacing w:before="100" w:beforeAutospacing="1" w:after="240" w:line="240" w:lineRule="auto"/>
        <w:rPr>
          <w:rFonts w:ascii="Arial" w:hAnsi="Arial" w:cs="Arial"/>
          <w:sz w:val="24"/>
          <w:szCs w:val="24"/>
        </w:rPr>
      </w:pPr>
    </w:p>
    <w:tbl>
      <w:tblPr>
        <w:tblW w:w="8100" w:type="dxa"/>
        <w:tblInd w:w="93" w:type="dxa"/>
        <w:tblLook w:val="04A0" w:firstRow="1" w:lastRow="0" w:firstColumn="1" w:lastColumn="0" w:noHBand="0" w:noVBand="1"/>
      </w:tblPr>
      <w:tblGrid>
        <w:gridCol w:w="3400"/>
        <w:gridCol w:w="1600"/>
        <w:gridCol w:w="1560"/>
        <w:gridCol w:w="1540"/>
      </w:tblGrid>
      <w:tr w:rsidR="00DC3568" w:rsidRPr="00DC3568" w:rsidTr="00DC3568">
        <w:trPr>
          <w:trHeight w:val="25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w:t>
            </w:r>
          </w:p>
        </w:tc>
        <w:tc>
          <w:tcPr>
            <w:tcW w:w="1600" w:type="dxa"/>
            <w:tcBorders>
              <w:top w:val="single" w:sz="4" w:space="0" w:color="auto"/>
              <w:left w:val="nil"/>
              <w:bottom w:val="single" w:sz="4" w:space="0" w:color="auto"/>
              <w:right w:val="single" w:sz="4" w:space="0" w:color="auto"/>
            </w:tcBorders>
            <w:shd w:val="clear" w:color="000000" w:fill="BFBFBF"/>
            <w:noWrap/>
            <w:vAlign w:val="bottom"/>
            <w:hideMark/>
          </w:tcPr>
          <w:p w:rsidR="00DC3568" w:rsidRPr="00DC3568" w:rsidRDefault="00DC3568" w:rsidP="00DC3568">
            <w:pPr>
              <w:spacing w:after="0" w:line="240" w:lineRule="auto"/>
              <w:jc w:val="center"/>
              <w:rPr>
                <w:rFonts w:ascii="Arial" w:eastAsia="Times New Roman" w:hAnsi="Arial" w:cs="Arial"/>
                <w:sz w:val="20"/>
                <w:szCs w:val="20"/>
                <w:lang w:eastAsia="en-GB"/>
              </w:rPr>
            </w:pPr>
            <w:r w:rsidRPr="00DC3568">
              <w:rPr>
                <w:rFonts w:ascii="Arial" w:eastAsia="Times New Roman" w:hAnsi="Arial" w:cs="Arial"/>
                <w:sz w:val="20"/>
                <w:szCs w:val="20"/>
                <w:lang w:eastAsia="en-GB"/>
              </w:rPr>
              <w:t>Winchester 2001</w:t>
            </w:r>
          </w:p>
        </w:tc>
        <w:tc>
          <w:tcPr>
            <w:tcW w:w="1560" w:type="dxa"/>
            <w:tcBorders>
              <w:top w:val="single" w:sz="4" w:space="0" w:color="auto"/>
              <w:left w:val="nil"/>
              <w:bottom w:val="single" w:sz="4" w:space="0" w:color="auto"/>
              <w:right w:val="single" w:sz="4" w:space="0" w:color="auto"/>
            </w:tcBorders>
            <w:shd w:val="clear" w:color="000000" w:fill="BFBFBF"/>
            <w:noWrap/>
            <w:vAlign w:val="bottom"/>
            <w:hideMark/>
          </w:tcPr>
          <w:p w:rsidR="00DC3568" w:rsidRPr="00DC3568" w:rsidRDefault="00DC3568" w:rsidP="00DC3568">
            <w:pPr>
              <w:spacing w:after="0" w:line="240" w:lineRule="auto"/>
              <w:jc w:val="center"/>
              <w:rPr>
                <w:rFonts w:ascii="Arial" w:eastAsia="Times New Roman" w:hAnsi="Arial" w:cs="Arial"/>
                <w:sz w:val="20"/>
                <w:szCs w:val="20"/>
                <w:lang w:eastAsia="en-GB"/>
              </w:rPr>
            </w:pPr>
            <w:r w:rsidRPr="00DC3568">
              <w:rPr>
                <w:rFonts w:ascii="Arial" w:eastAsia="Times New Roman" w:hAnsi="Arial" w:cs="Arial"/>
                <w:sz w:val="20"/>
                <w:szCs w:val="20"/>
                <w:lang w:eastAsia="en-GB"/>
              </w:rPr>
              <w:t>Winchester 2011</w:t>
            </w:r>
          </w:p>
        </w:tc>
        <w:tc>
          <w:tcPr>
            <w:tcW w:w="1540" w:type="dxa"/>
            <w:tcBorders>
              <w:top w:val="single" w:sz="4" w:space="0" w:color="auto"/>
              <w:left w:val="nil"/>
              <w:bottom w:val="single" w:sz="4" w:space="0" w:color="auto"/>
              <w:right w:val="single" w:sz="4" w:space="0" w:color="auto"/>
            </w:tcBorders>
            <w:shd w:val="clear" w:color="000000" w:fill="BFBFBF"/>
            <w:noWrap/>
            <w:vAlign w:val="bottom"/>
            <w:hideMark/>
          </w:tcPr>
          <w:p w:rsidR="00DC3568" w:rsidRPr="00DC3568" w:rsidRDefault="00DC3568" w:rsidP="00DC3568">
            <w:pPr>
              <w:spacing w:after="0" w:line="240" w:lineRule="auto"/>
              <w:jc w:val="center"/>
              <w:rPr>
                <w:rFonts w:ascii="Arial" w:eastAsia="Times New Roman" w:hAnsi="Arial" w:cs="Arial"/>
                <w:sz w:val="20"/>
                <w:szCs w:val="20"/>
                <w:lang w:eastAsia="en-GB"/>
              </w:rPr>
            </w:pPr>
            <w:proofErr w:type="spellStart"/>
            <w:r w:rsidRPr="00DC3568">
              <w:rPr>
                <w:rFonts w:ascii="Arial" w:eastAsia="Times New Roman" w:hAnsi="Arial" w:cs="Arial"/>
                <w:sz w:val="20"/>
                <w:szCs w:val="20"/>
                <w:lang w:eastAsia="en-GB"/>
              </w:rPr>
              <w:t>E&amp;W</w:t>
            </w:r>
            <w:proofErr w:type="spellEnd"/>
            <w:r w:rsidRPr="00DC3568">
              <w:rPr>
                <w:rFonts w:ascii="Arial" w:eastAsia="Times New Roman" w:hAnsi="Arial" w:cs="Arial"/>
                <w:sz w:val="20"/>
                <w:szCs w:val="20"/>
                <w:lang w:eastAsia="en-GB"/>
              </w:rPr>
              <w:t xml:space="preserve"> 2011</w:t>
            </w:r>
          </w:p>
        </w:tc>
      </w:tr>
      <w:tr w:rsidR="00DC3568" w:rsidRPr="00DC3568" w:rsidTr="00DC3568">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FT Students &amp; Schoolchildren 16-74</w:t>
            </w:r>
          </w:p>
        </w:tc>
        <w:tc>
          <w:tcPr>
            <w:tcW w:w="160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xml:space="preserve">                7,035 </w:t>
            </w:r>
          </w:p>
        </w:tc>
        <w:tc>
          <w:tcPr>
            <w:tcW w:w="156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xml:space="preserve">               9,526 </w:t>
            </w:r>
          </w:p>
        </w:tc>
        <w:tc>
          <w:tcPr>
            <w:tcW w:w="154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xml:space="preserve">         3,715,369 </w:t>
            </w:r>
          </w:p>
        </w:tc>
      </w:tr>
      <w:tr w:rsidR="00DC3568" w:rsidRPr="00DC3568" w:rsidTr="00DC3568">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Percentage of 16+ Population</w:t>
            </w:r>
          </w:p>
        </w:tc>
        <w:tc>
          <w:tcPr>
            <w:tcW w:w="160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6.6%</w:t>
            </w:r>
          </w:p>
        </w:tc>
        <w:tc>
          <w:tcPr>
            <w:tcW w:w="1560" w:type="dxa"/>
            <w:tcBorders>
              <w:top w:val="nil"/>
              <w:left w:val="nil"/>
              <w:bottom w:val="single" w:sz="4" w:space="0" w:color="auto"/>
              <w:right w:val="single" w:sz="4" w:space="0" w:color="auto"/>
            </w:tcBorders>
            <w:shd w:val="clear" w:color="auto" w:fill="auto"/>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10.0%</w:t>
            </w:r>
          </w:p>
        </w:tc>
        <w:tc>
          <w:tcPr>
            <w:tcW w:w="1540" w:type="dxa"/>
            <w:tcBorders>
              <w:top w:val="nil"/>
              <w:left w:val="nil"/>
              <w:bottom w:val="single" w:sz="4" w:space="0" w:color="auto"/>
              <w:right w:val="single" w:sz="4" w:space="0" w:color="auto"/>
            </w:tcBorders>
            <w:shd w:val="clear" w:color="auto" w:fill="auto"/>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8.2%</w:t>
            </w:r>
          </w:p>
        </w:tc>
      </w:tr>
      <w:tr w:rsidR="00DC3568" w:rsidRPr="00DC3568" w:rsidTr="00DC3568">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FT Students &amp; Schoolchildren 16-17</w:t>
            </w:r>
          </w:p>
        </w:tc>
        <w:tc>
          <w:tcPr>
            <w:tcW w:w="160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xml:space="preserve">                2,362 </w:t>
            </w:r>
          </w:p>
        </w:tc>
        <w:tc>
          <w:tcPr>
            <w:tcW w:w="156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xml:space="preserve">               3,023 </w:t>
            </w:r>
          </w:p>
        </w:tc>
        <w:tc>
          <w:tcPr>
            <w:tcW w:w="154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xml:space="preserve">         1,230,368 </w:t>
            </w:r>
          </w:p>
        </w:tc>
      </w:tr>
      <w:tr w:rsidR="00DC3568" w:rsidRPr="00DC3568" w:rsidTr="00DC3568">
        <w:trPr>
          <w:trHeight w:val="27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Percentage of 16+ Population</w:t>
            </w:r>
          </w:p>
        </w:tc>
        <w:tc>
          <w:tcPr>
            <w:tcW w:w="160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2.2%</w:t>
            </w:r>
          </w:p>
        </w:tc>
        <w:tc>
          <w:tcPr>
            <w:tcW w:w="1560" w:type="dxa"/>
            <w:tcBorders>
              <w:top w:val="nil"/>
              <w:left w:val="nil"/>
              <w:bottom w:val="single" w:sz="4" w:space="0" w:color="auto"/>
              <w:right w:val="single" w:sz="4" w:space="0" w:color="auto"/>
            </w:tcBorders>
            <w:shd w:val="clear" w:color="auto" w:fill="auto"/>
            <w:noWrap/>
            <w:vAlign w:val="bottom"/>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3.2%</w:t>
            </w:r>
          </w:p>
        </w:tc>
        <w:tc>
          <w:tcPr>
            <w:tcW w:w="1540" w:type="dxa"/>
            <w:tcBorders>
              <w:top w:val="nil"/>
              <w:left w:val="nil"/>
              <w:bottom w:val="single" w:sz="4" w:space="0" w:color="auto"/>
              <w:right w:val="single" w:sz="4" w:space="0" w:color="auto"/>
            </w:tcBorders>
            <w:shd w:val="clear" w:color="auto" w:fill="auto"/>
            <w:noWrap/>
            <w:vAlign w:val="bottom"/>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2.7%</w:t>
            </w:r>
          </w:p>
        </w:tc>
      </w:tr>
      <w:tr w:rsidR="00DC3568" w:rsidRPr="00DC3568" w:rsidTr="00DC3568">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FT Students &amp; Schoolchildren 18-74</w:t>
            </w:r>
          </w:p>
        </w:tc>
        <w:tc>
          <w:tcPr>
            <w:tcW w:w="160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xml:space="preserve">                4,673 </w:t>
            </w:r>
          </w:p>
        </w:tc>
        <w:tc>
          <w:tcPr>
            <w:tcW w:w="156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xml:space="preserve">               6,503 </w:t>
            </w:r>
          </w:p>
        </w:tc>
        <w:tc>
          <w:tcPr>
            <w:tcW w:w="154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 xml:space="preserve">         2,485,001 </w:t>
            </w:r>
          </w:p>
        </w:tc>
      </w:tr>
      <w:tr w:rsidR="00DC3568" w:rsidRPr="00DC3568" w:rsidTr="00DC3568">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Percentage of 16+ Population</w:t>
            </w:r>
          </w:p>
        </w:tc>
        <w:tc>
          <w:tcPr>
            <w:tcW w:w="160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4.4%</w:t>
            </w:r>
          </w:p>
        </w:tc>
        <w:tc>
          <w:tcPr>
            <w:tcW w:w="1560" w:type="dxa"/>
            <w:tcBorders>
              <w:top w:val="nil"/>
              <w:left w:val="nil"/>
              <w:bottom w:val="single" w:sz="4" w:space="0" w:color="auto"/>
              <w:right w:val="single" w:sz="4" w:space="0" w:color="auto"/>
            </w:tcBorders>
            <w:shd w:val="clear" w:color="auto" w:fill="auto"/>
            <w:noWrap/>
            <w:vAlign w:val="bottom"/>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6.8%</w:t>
            </w:r>
          </w:p>
        </w:tc>
        <w:tc>
          <w:tcPr>
            <w:tcW w:w="1540" w:type="dxa"/>
            <w:tcBorders>
              <w:top w:val="nil"/>
              <w:left w:val="nil"/>
              <w:bottom w:val="single" w:sz="4" w:space="0" w:color="auto"/>
              <w:right w:val="single" w:sz="4" w:space="0" w:color="auto"/>
            </w:tcBorders>
            <w:shd w:val="clear" w:color="auto" w:fill="auto"/>
            <w:noWrap/>
            <w:vAlign w:val="bottom"/>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5.5%</w:t>
            </w:r>
          </w:p>
        </w:tc>
      </w:tr>
      <w:tr w:rsidR="00DC3568" w:rsidRPr="00DC3568" w:rsidTr="00DC3568">
        <w:trPr>
          <w:trHeight w:val="51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Percentage of 16+ Population with no Qualification</w:t>
            </w:r>
          </w:p>
        </w:tc>
        <w:tc>
          <w:tcPr>
            <w:tcW w:w="160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18.8%</w:t>
            </w:r>
          </w:p>
        </w:tc>
        <w:tc>
          <w:tcPr>
            <w:tcW w:w="156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14.5%</w:t>
            </w:r>
          </w:p>
        </w:tc>
        <w:tc>
          <w:tcPr>
            <w:tcW w:w="154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22.7%</w:t>
            </w:r>
          </w:p>
        </w:tc>
      </w:tr>
      <w:tr w:rsidR="00DC3568" w:rsidRPr="00DC3568" w:rsidTr="00DC3568">
        <w:trPr>
          <w:trHeight w:val="57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C3568" w:rsidRPr="00DC3568" w:rsidRDefault="00DC3568" w:rsidP="00DC3568">
            <w:pPr>
              <w:spacing w:after="0" w:line="240" w:lineRule="auto"/>
              <w:rPr>
                <w:rFonts w:ascii="Arial" w:eastAsia="Times New Roman" w:hAnsi="Arial" w:cs="Arial"/>
                <w:sz w:val="20"/>
                <w:szCs w:val="20"/>
                <w:lang w:eastAsia="en-GB"/>
              </w:rPr>
            </w:pPr>
            <w:r w:rsidRPr="00DC3568">
              <w:rPr>
                <w:rFonts w:ascii="Arial" w:eastAsia="Times New Roman" w:hAnsi="Arial" w:cs="Arial"/>
                <w:sz w:val="20"/>
                <w:szCs w:val="20"/>
                <w:lang w:eastAsia="en-GB"/>
              </w:rPr>
              <w:t>Percentage of 16+ population qualified to Level 4 (Degree) or above.</w:t>
            </w:r>
          </w:p>
        </w:tc>
        <w:tc>
          <w:tcPr>
            <w:tcW w:w="160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30.2%</w:t>
            </w:r>
          </w:p>
        </w:tc>
        <w:tc>
          <w:tcPr>
            <w:tcW w:w="156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40.7%</w:t>
            </w:r>
          </w:p>
        </w:tc>
        <w:tc>
          <w:tcPr>
            <w:tcW w:w="1540" w:type="dxa"/>
            <w:tcBorders>
              <w:top w:val="nil"/>
              <w:left w:val="nil"/>
              <w:bottom w:val="single" w:sz="4" w:space="0" w:color="auto"/>
              <w:right w:val="single" w:sz="4" w:space="0" w:color="auto"/>
            </w:tcBorders>
            <w:shd w:val="clear" w:color="auto" w:fill="auto"/>
            <w:noWrap/>
            <w:vAlign w:val="center"/>
            <w:hideMark/>
          </w:tcPr>
          <w:p w:rsidR="00DC3568" w:rsidRPr="00DC3568" w:rsidRDefault="00DC3568" w:rsidP="00DC3568">
            <w:pPr>
              <w:spacing w:after="0" w:line="240" w:lineRule="auto"/>
              <w:jc w:val="right"/>
              <w:rPr>
                <w:rFonts w:ascii="Arial" w:eastAsia="Times New Roman" w:hAnsi="Arial" w:cs="Arial"/>
                <w:sz w:val="20"/>
                <w:szCs w:val="20"/>
                <w:lang w:eastAsia="en-GB"/>
              </w:rPr>
            </w:pPr>
            <w:r w:rsidRPr="00DC3568">
              <w:rPr>
                <w:rFonts w:ascii="Arial" w:eastAsia="Times New Roman" w:hAnsi="Arial" w:cs="Arial"/>
                <w:sz w:val="20"/>
                <w:szCs w:val="20"/>
                <w:lang w:eastAsia="en-GB"/>
              </w:rPr>
              <w:t>27.2%</w:t>
            </w:r>
          </w:p>
        </w:tc>
      </w:tr>
    </w:tbl>
    <w:p w:rsidR="00DC3568" w:rsidRDefault="00370AEC" w:rsidP="00FD60C6">
      <w:pPr>
        <w:shd w:val="clear" w:color="auto" w:fill="FFFFFF"/>
        <w:spacing w:before="100" w:beforeAutospacing="1" w:after="240" w:line="240" w:lineRule="auto"/>
        <w:rPr>
          <w:rFonts w:ascii="Arial" w:hAnsi="Arial" w:cs="Arial"/>
          <w:sz w:val="24"/>
          <w:szCs w:val="24"/>
        </w:rPr>
      </w:pPr>
      <w:r>
        <w:rPr>
          <w:noProof/>
          <w:lang w:eastAsia="en-GB"/>
        </w:rPr>
        <w:lastRenderedPageBreak/>
        <w:drawing>
          <wp:inline distT="0" distB="0" distL="0" distR="0" wp14:anchorId="12FF3BD5" wp14:editId="0286A3C5">
            <wp:extent cx="5731510" cy="3680781"/>
            <wp:effectExtent l="0" t="0" r="2159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49E1" w:rsidRDefault="00BD49E1" w:rsidP="00FD60C6">
      <w:pPr>
        <w:shd w:val="clear" w:color="auto" w:fill="FFFFFF"/>
        <w:spacing w:before="100" w:beforeAutospacing="1" w:after="240" w:line="240" w:lineRule="auto"/>
        <w:rPr>
          <w:rFonts w:ascii="Arial" w:hAnsi="Arial" w:cs="Arial"/>
          <w:sz w:val="24"/>
          <w:szCs w:val="24"/>
        </w:rPr>
      </w:pPr>
    </w:p>
    <w:p w:rsidR="00BD49E1" w:rsidRDefault="00BD49E1" w:rsidP="00FD60C6">
      <w:pPr>
        <w:shd w:val="clear" w:color="auto" w:fill="FFFFFF"/>
        <w:spacing w:before="100" w:beforeAutospacing="1" w:after="240" w:line="240" w:lineRule="auto"/>
        <w:rPr>
          <w:rFonts w:ascii="Arial" w:hAnsi="Arial" w:cs="Arial"/>
          <w:sz w:val="24"/>
          <w:szCs w:val="24"/>
        </w:rPr>
      </w:pPr>
    </w:p>
    <w:p w:rsidR="00BD49E1" w:rsidRDefault="00BD49E1" w:rsidP="00FD60C6">
      <w:pPr>
        <w:shd w:val="clear" w:color="auto" w:fill="FFFFFF"/>
        <w:spacing w:before="100" w:beforeAutospacing="1" w:after="240" w:line="240" w:lineRule="auto"/>
        <w:rPr>
          <w:rFonts w:ascii="Arial" w:hAnsi="Arial" w:cs="Arial"/>
          <w:sz w:val="24"/>
          <w:szCs w:val="24"/>
        </w:rPr>
      </w:pPr>
    </w:p>
    <w:p w:rsidR="00BD49E1" w:rsidRDefault="00BD49E1" w:rsidP="00FD60C6">
      <w:pPr>
        <w:shd w:val="clear" w:color="auto" w:fill="FFFFFF"/>
        <w:spacing w:before="100" w:beforeAutospacing="1" w:after="240" w:line="240" w:lineRule="auto"/>
        <w:rPr>
          <w:rFonts w:ascii="Arial" w:hAnsi="Arial" w:cs="Arial"/>
          <w:sz w:val="24"/>
          <w:szCs w:val="24"/>
        </w:rPr>
      </w:pPr>
    </w:p>
    <w:p w:rsidR="00BD49E1" w:rsidRDefault="00BD49E1" w:rsidP="00FD60C6">
      <w:pPr>
        <w:shd w:val="clear" w:color="auto" w:fill="FFFFFF"/>
        <w:spacing w:before="100" w:beforeAutospacing="1" w:after="240" w:line="240" w:lineRule="auto"/>
        <w:rPr>
          <w:rFonts w:ascii="Arial" w:hAnsi="Arial" w:cs="Arial"/>
          <w:sz w:val="24"/>
          <w:szCs w:val="24"/>
        </w:rPr>
      </w:pPr>
    </w:p>
    <w:p w:rsidR="00BD49E1" w:rsidRDefault="00BD49E1" w:rsidP="00FD60C6">
      <w:pPr>
        <w:shd w:val="clear" w:color="auto" w:fill="FFFFFF"/>
        <w:spacing w:before="100" w:beforeAutospacing="1" w:after="240" w:line="240" w:lineRule="auto"/>
        <w:rPr>
          <w:rFonts w:ascii="Arial" w:hAnsi="Arial" w:cs="Arial"/>
          <w:sz w:val="24"/>
          <w:szCs w:val="24"/>
        </w:rPr>
      </w:pPr>
    </w:p>
    <w:p w:rsidR="00BD49E1" w:rsidRDefault="00BD49E1" w:rsidP="00FD60C6">
      <w:pPr>
        <w:shd w:val="clear" w:color="auto" w:fill="FFFFFF"/>
        <w:spacing w:before="100" w:beforeAutospacing="1" w:after="240" w:line="240" w:lineRule="auto"/>
        <w:rPr>
          <w:rFonts w:ascii="Arial" w:hAnsi="Arial" w:cs="Arial"/>
          <w:sz w:val="24"/>
          <w:szCs w:val="24"/>
        </w:rPr>
      </w:pPr>
    </w:p>
    <w:p w:rsidR="00BD49E1" w:rsidRDefault="00BD49E1" w:rsidP="00FD60C6">
      <w:pPr>
        <w:shd w:val="clear" w:color="auto" w:fill="FFFFFF"/>
        <w:spacing w:before="100" w:beforeAutospacing="1" w:after="240" w:line="240" w:lineRule="auto"/>
        <w:rPr>
          <w:rFonts w:ascii="Arial" w:hAnsi="Arial" w:cs="Arial"/>
          <w:sz w:val="24"/>
          <w:szCs w:val="24"/>
        </w:rPr>
      </w:pPr>
    </w:p>
    <w:p w:rsidR="00BD49E1" w:rsidRPr="00BD49E1" w:rsidRDefault="00BD49E1" w:rsidP="00BD49E1">
      <w:pPr>
        <w:shd w:val="clear" w:color="auto" w:fill="FFFFFF"/>
        <w:spacing w:before="100" w:beforeAutospacing="1" w:after="240" w:line="240" w:lineRule="auto"/>
        <w:jc w:val="center"/>
        <w:rPr>
          <w:rFonts w:ascii="Arial" w:hAnsi="Arial" w:cs="Arial"/>
          <w:b/>
          <w:sz w:val="24"/>
          <w:szCs w:val="24"/>
        </w:rPr>
      </w:pPr>
      <w:r w:rsidRPr="00BD49E1">
        <w:rPr>
          <w:rFonts w:ascii="Arial" w:hAnsi="Arial" w:cs="Arial"/>
          <w:b/>
          <w:sz w:val="24"/>
          <w:szCs w:val="24"/>
        </w:rPr>
        <w:t>ETHNICITY</w:t>
      </w:r>
    </w:p>
    <w:tbl>
      <w:tblPr>
        <w:tblW w:w="6400" w:type="dxa"/>
        <w:tblInd w:w="93" w:type="dxa"/>
        <w:tblLook w:val="04A0" w:firstRow="1" w:lastRow="0" w:firstColumn="1" w:lastColumn="0" w:noHBand="0" w:noVBand="1"/>
      </w:tblPr>
      <w:tblGrid>
        <w:gridCol w:w="1960"/>
        <w:gridCol w:w="1480"/>
        <w:gridCol w:w="1480"/>
        <w:gridCol w:w="1480"/>
      </w:tblGrid>
      <w:tr w:rsidR="00BD49E1" w:rsidRPr="00BD49E1" w:rsidTr="00BD49E1">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rPr>
                <w:rFonts w:ascii="Arial" w:eastAsia="Times New Roman" w:hAnsi="Arial" w:cs="Arial"/>
                <w:sz w:val="20"/>
                <w:szCs w:val="20"/>
                <w:lang w:eastAsia="en-GB"/>
              </w:rPr>
            </w:pPr>
            <w:r w:rsidRPr="00BD49E1">
              <w:rPr>
                <w:rFonts w:ascii="Arial" w:eastAsia="Times New Roman" w:hAnsi="Arial" w:cs="Arial"/>
                <w:sz w:val="20"/>
                <w:szCs w:val="20"/>
                <w:lang w:eastAsia="en-GB"/>
              </w:rPr>
              <w:t> </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rPr>
                <w:rFonts w:ascii="Arial" w:eastAsia="Times New Roman" w:hAnsi="Arial" w:cs="Arial"/>
                <w:sz w:val="20"/>
                <w:szCs w:val="20"/>
                <w:lang w:eastAsia="en-GB"/>
              </w:rPr>
            </w:pPr>
            <w:r w:rsidRPr="00BD49E1">
              <w:rPr>
                <w:rFonts w:ascii="Arial" w:eastAsia="Times New Roman" w:hAnsi="Arial" w:cs="Arial"/>
                <w:sz w:val="20"/>
                <w:szCs w:val="20"/>
                <w:lang w:eastAsia="en-GB"/>
              </w:rPr>
              <w:t>Win 2001</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rPr>
                <w:rFonts w:ascii="Arial" w:eastAsia="Times New Roman" w:hAnsi="Arial" w:cs="Arial"/>
                <w:sz w:val="20"/>
                <w:szCs w:val="20"/>
                <w:lang w:eastAsia="en-GB"/>
              </w:rPr>
            </w:pPr>
            <w:r w:rsidRPr="00BD49E1">
              <w:rPr>
                <w:rFonts w:ascii="Arial" w:eastAsia="Times New Roman" w:hAnsi="Arial" w:cs="Arial"/>
                <w:sz w:val="20"/>
                <w:szCs w:val="20"/>
                <w:lang w:eastAsia="en-GB"/>
              </w:rPr>
              <w:t>Win 2011</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rPr>
                <w:rFonts w:ascii="Arial" w:eastAsia="Times New Roman" w:hAnsi="Arial" w:cs="Arial"/>
                <w:sz w:val="20"/>
                <w:szCs w:val="20"/>
                <w:lang w:eastAsia="en-GB"/>
              </w:rPr>
            </w:pPr>
            <w:proofErr w:type="spellStart"/>
            <w:r w:rsidRPr="00BD49E1">
              <w:rPr>
                <w:rFonts w:ascii="Arial" w:eastAsia="Times New Roman" w:hAnsi="Arial" w:cs="Arial"/>
                <w:sz w:val="20"/>
                <w:szCs w:val="20"/>
                <w:lang w:eastAsia="en-GB"/>
              </w:rPr>
              <w:t>E&amp;W</w:t>
            </w:r>
            <w:proofErr w:type="spellEnd"/>
            <w:r w:rsidRPr="00BD49E1">
              <w:rPr>
                <w:rFonts w:ascii="Arial" w:eastAsia="Times New Roman" w:hAnsi="Arial" w:cs="Arial"/>
                <w:sz w:val="20"/>
                <w:szCs w:val="20"/>
                <w:lang w:eastAsia="en-GB"/>
              </w:rPr>
              <w:t xml:space="preserve"> 2011</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White</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97.8%</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95.7%</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86.0%</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(of which) White Irish</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0.7%</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0.6%</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0.9%</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Mixed</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0.6%</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1.4%</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2.2%</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Asian</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0.7%</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1.6%</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6.8%</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Indian</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0.4%</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0.6%</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2.5%</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Pakistani</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0.0%</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0.1%</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2.0%</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Bangladeshi</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0.2%</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0.2%</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0.8%</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Other Asian</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0.1%</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0.8%</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1.5%</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Black</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0.2%</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0.4%</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3.3%</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Caribbean</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0.1%</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0.1%</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1.1%</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African</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0.1%</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0.2%</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1.8%</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Other Black</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0.0%</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0.1%</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sz w:val="20"/>
                <w:szCs w:val="20"/>
                <w:lang w:eastAsia="en-GB"/>
              </w:rPr>
            </w:pPr>
            <w:r w:rsidRPr="00BD49E1">
              <w:rPr>
                <w:rFonts w:ascii="Arial" w:eastAsia="Times New Roman" w:hAnsi="Arial" w:cs="Arial"/>
                <w:sz w:val="20"/>
                <w:szCs w:val="20"/>
                <w:lang w:eastAsia="en-GB"/>
              </w:rPr>
              <w:t>0.5%</w:t>
            </w:r>
          </w:p>
        </w:tc>
      </w:tr>
      <w:tr w:rsidR="00BD49E1" w:rsidRPr="00BD49E1" w:rsidTr="00BD49E1">
        <w:trPr>
          <w:trHeight w:val="255"/>
        </w:trPr>
        <w:tc>
          <w:tcPr>
            <w:tcW w:w="1960" w:type="dxa"/>
            <w:tcBorders>
              <w:top w:val="nil"/>
              <w:left w:val="single" w:sz="4" w:space="0" w:color="auto"/>
              <w:bottom w:val="single" w:sz="4" w:space="0" w:color="auto"/>
              <w:right w:val="single" w:sz="4" w:space="0" w:color="auto"/>
            </w:tcBorders>
            <w:shd w:val="clear" w:color="000000" w:fill="BFBFBF"/>
            <w:noWrap/>
            <w:vAlign w:val="bottom"/>
            <w:hideMark/>
          </w:tcPr>
          <w:p w:rsidR="00BD49E1" w:rsidRPr="00BD49E1" w:rsidRDefault="00BD49E1" w:rsidP="00BD49E1">
            <w:pPr>
              <w:spacing w:after="0" w:line="240" w:lineRule="auto"/>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Chinese or Other</w:t>
            </w:r>
          </w:p>
        </w:tc>
        <w:tc>
          <w:tcPr>
            <w:tcW w:w="1480" w:type="dxa"/>
            <w:tcBorders>
              <w:top w:val="nil"/>
              <w:left w:val="nil"/>
              <w:bottom w:val="single" w:sz="4" w:space="0" w:color="auto"/>
              <w:right w:val="single" w:sz="4" w:space="0" w:color="auto"/>
            </w:tcBorders>
            <w:shd w:val="clear" w:color="auto" w:fill="auto"/>
            <w:noWrap/>
            <w:vAlign w:val="bottom"/>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0.6%</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0.9%</w:t>
            </w:r>
          </w:p>
        </w:tc>
        <w:tc>
          <w:tcPr>
            <w:tcW w:w="1480" w:type="dxa"/>
            <w:tcBorders>
              <w:top w:val="nil"/>
              <w:left w:val="nil"/>
              <w:bottom w:val="single" w:sz="4" w:space="0" w:color="auto"/>
              <w:right w:val="single" w:sz="4" w:space="0" w:color="auto"/>
            </w:tcBorders>
            <w:shd w:val="clear" w:color="auto" w:fill="auto"/>
            <w:vAlign w:val="center"/>
            <w:hideMark/>
          </w:tcPr>
          <w:p w:rsidR="00BD49E1" w:rsidRPr="00BD49E1" w:rsidRDefault="00BD49E1" w:rsidP="00BD49E1">
            <w:pPr>
              <w:spacing w:after="0" w:line="240" w:lineRule="auto"/>
              <w:jc w:val="right"/>
              <w:rPr>
                <w:rFonts w:ascii="Arial" w:eastAsia="Times New Roman" w:hAnsi="Arial" w:cs="Arial"/>
                <w:b/>
                <w:bCs/>
                <w:sz w:val="20"/>
                <w:szCs w:val="20"/>
                <w:lang w:eastAsia="en-GB"/>
              </w:rPr>
            </w:pPr>
            <w:r w:rsidRPr="00BD49E1">
              <w:rPr>
                <w:rFonts w:ascii="Arial" w:eastAsia="Times New Roman" w:hAnsi="Arial" w:cs="Arial"/>
                <w:b/>
                <w:bCs/>
                <w:sz w:val="20"/>
                <w:szCs w:val="20"/>
                <w:lang w:eastAsia="en-GB"/>
              </w:rPr>
              <w:t>1.7%</w:t>
            </w:r>
          </w:p>
        </w:tc>
      </w:tr>
    </w:tbl>
    <w:p w:rsidR="00DC3568" w:rsidRPr="00645F12" w:rsidRDefault="00BD49E1" w:rsidP="00FD60C6">
      <w:pPr>
        <w:shd w:val="clear" w:color="auto" w:fill="FFFFFF"/>
        <w:spacing w:before="100" w:beforeAutospacing="1" w:after="240" w:line="240" w:lineRule="auto"/>
        <w:rPr>
          <w:rFonts w:ascii="Arial" w:hAnsi="Arial" w:cs="Arial"/>
          <w:sz w:val="24"/>
          <w:szCs w:val="24"/>
        </w:rPr>
      </w:pPr>
      <w:r>
        <w:rPr>
          <w:noProof/>
          <w:lang w:eastAsia="en-GB"/>
        </w:rPr>
        <w:lastRenderedPageBreak/>
        <w:drawing>
          <wp:inline distT="0" distB="0" distL="0" distR="0" wp14:anchorId="32490338" wp14:editId="37A0E839">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DC3568" w:rsidRPr="00645F12" w:rsidSect="00EA5A2C">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24C85"/>
    <w:multiLevelType w:val="hybridMultilevel"/>
    <w:tmpl w:val="9A20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12"/>
    <w:rsid w:val="001A0153"/>
    <w:rsid w:val="001D3CF5"/>
    <w:rsid w:val="00370AEC"/>
    <w:rsid w:val="0047223D"/>
    <w:rsid w:val="00645F12"/>
    <w:rsid w:val="0069389B"/>
    <w:rsid w:val="00834709"/>
    <w:rsid w:val="00841F15"/>
    <w:rsid w:val="008E5E23"/>
    <w:rsid w:val="00B7423E"/>
    <w:rsid w:val="00BD49E1"/>
    <w:rsid w:val="00CA6F8A"/>
    <w:rsid w:val="00DB4DB5"/>
    <w:rsid w:val="00DC3568"/>
    <w:rsid w:val="00EA5A2C"/>
    <w:rsid w:val="00FD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C6"/>
    <w:rPr>
      <w:rFonts w:ascii="Tahoma" w:hAnsi="Tahoma" w:cs="Tahoma"/>
      <w:sz w:val="16"/>
      <w:szCs w:val="16"/>
    </w:rPr>
  </w:style>
  <w:style w:type="paragraph" w:styleId="ListParagraph">
    <w:name w:val="List Paragraph"/>
    <w:basedOn w:val="Normal"/>
    <w:uiPriority w:val="34"/>
    <w:qFormat/>
    <w:rsid w:val="001A0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C6"/>
    <w:rPr>
      <w:rFonts w:ascii="Tahoma" w:hAnsi="Tahoma" w:cs="Tahoma"/>
      <w:sz w:val="16"/>
      <w:szCs w:val="16"/>
    </w:rPr>
  </w:style>
  <w:style w:type="paragraph" w:styleId="ListParagraph">
    <w:name w:val="List Paragraph"/>
    <w:basedOn w:val="Normal"/>
    <w:uiPriority w:val="34"/>
    <w:qFormat/>
    <w:rsid w:val="001A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6333">
      <w:bodyDiv w:val="1"/>
      <w:marLeft w:val="0"/>
      <w:marRight w:val="0"/>
      <w:marTop w:val="0"/>
      <w:marBottom w:val="0"/>
      <w:divBdr>
        <w:top w:val="none" w:sz="0" w:space="0" w:color="auto"/>
        <w:left w:val="none" w:sz="0" w:space="0" w:color="auto"/>
        <w:bottom w:val="none" w:sz="0" w:space="0" w:color="auto"/>
        <w:right w:val="none" w:sz="0" w:space="0" w:color="auto"/>
      </w:divBdr>
      <w:divsChild>
        <w:div w:id="835730120">
          <w:marLeft w:val="0"/>
          <w:marRight w:val="0"/>
          <w:marTop w:val="0"/>
          <w:marBottom w:val="0"/>
          <w:divBdr>
            <w:top w:val="none" w:sz="0" w:space="0" w:color="auto"/>
            <w:left w:val="none" w:sz="0" w:space="0" w:color="auto"/>
            <w:bottom w:val="none" w:sz="0" w:space="0" w:color="auto"/>
            <w:right w:val="none" w:sz="0" w:space="0" w:color="auto"/>
          </w:divBdr>
          <w:divsChild>
            <w:div w:id="1634403883">
              <w:marLeft w:val="150"/>
              <w:marRight w:val="150"/>
              <w:marTop w:val="150"/>
              <w:marBottom w:val="0"/>
              <w:divBdr>
                <w:top w:val="none" w:sz="0" w:space="0" w:color="auto"/>
                <w:left w:val="none" w:sz="0" w:space="0" w:color="auto"/>
                <w:bottom w:val="none" w:sz="0" w:space="0" w:color="auto"/>
                <w:right w:val="none" w:sz="0" w:space="0" w:color="auto"/>
              </w:divBdr>
              <w:divsChild>
                <w:div w:id="16622007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02826795">
      <w:bodyDiv w:val="1"/>
      <w:marLeft w:val="0"/>
      <w:marRight w:val="0"/>
      <w:marTop w:val="0"/>
      <w:marBottom w:val="0"/>
      <w:divBdr>
        <w:top w:val="none" w:sz="0" w:space="0" w:color="auto"/>
        <w:left w:val="none" w:sz="0" w:space="0" w:color="auto"/>
        <w:bottom w:val="none" w:sz="0" w:space="0" w:color="auto"/>
        <w:right w:val="none" w:sz="0" w:space="0" w:color="auto"/>
      </w:divBdr>
    </w:div>
    <w:div w:id="861211690">
      <w:bodyDiv w:val="1"/>
      <w:marLeft w:val="0"/>
      <w:marRight w:val="0"/>
      <w:marTop w:val="0"/>
      <w:marBottom w:val="0"/>
      <w:divBdr>
        <w:top w:val="none" w:sz="0" w:space="0" w:color="auto"/>
        <w:left w:val="none" w:sz="0" w:space="0" w:color="auto"/>
        <w:bottom w:val="none" w:sz="0" w:space="0" w:color="auto"/>
        <w:right w:val="none" w:sz="0" w:space="0" w:color="auto"/>
      </w:divBdr>
    </w:div>
    <w:div w:id="16675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in-fp2\CX\Statistics-General\2011-Census\WCC%20Files\HR%20WF%20DP%20Fi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n-fp2\CX\Statistics-General\2011-Census\WCC%20Files\HR%20WF%20DP%20Fig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n-fp2\CX\Statistics-General\2011-Census\WCC%20Files\HR%20WF%20DP%20Fig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in-fp2\CX\Statistics-General\2011-Census\WCC%20Files\HR%20WF%20DP%20Fig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n-fp2\CX\Statistics-General\2011-Census\WCC%20Files\HR%20WF%20DP%20Fi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Winchester Age Profile 2011</a:t>
            </a:r>
          </a:p>
          <a:p>
            <a:pPr>
              <a:defRPr/>
            </a:pPr>
            <a:r>
              <a:rPr lang="en-GB" sz="1400"/>
              <a:t>Compared To</a:t>
            </a:r>
          </a:p>
          <a:p>
            <a:pPr>
              <a:defRPr/>
            </a:pPr>
            <a:r>
              <a:rPr lang="en-GB" sz="1400"/>
              <a:t>England &amp; Wales</a:t>
            </a:r>
          </a:p>
        </c:rich>
      </c:tx>
      <c:layout>
        <c:manualLayout>
          <c:xMode val="edge"/>
          <c:yMode val="edge"/>
          <c:x val="0.18561755867473087"/>
          <c:y val="4.6038277045608027E-2"/>
        </c:manualLayout>
      </c:layout>
      <c:overlay val="1"/>
    </c:title>
    <c:autoTitleDeleted val="0"/>
    <c:plotArea>
      <c:layout>
        <c:manualLayout>
          <c:layoutTarget val="inner"/>
          <c:xMode val="edge"/>
          <c:yMode val="edge"/>
          <c:x val="0.17432022715534462"/>
          <c:y val="3.93183466563009E-2"/>
          <c:w val="0.80440832172057264"/>
          <c:h val="0.69287787532245471"/>
        </c:manualLayout>
      </c:layout>
      <c:lineChart>
        <c:grouping val="standard"/>
        <c:varyColors val="0"/>
        <c:ser>
          <c:idx val="0"/>
          <c:order val="0"/>
          <c:tx>
            <c:strRef>
              <c:f>'Age Profile'!$A$12</c:f>
              <c:strCache>
                <c:ptCount val="1"/>
                <c:pt idx="0">
                  <c:v>Winchester</c:v>
                </c:pt>
              </c:strCache>
            </c:strRef>
          </c:tx>
          <c:marker>
            <c:symbol val="none"/>
          </c:marker>
          <c:cat>
            <c:strRef>
              <c:f>'Age Profile'!$B$8:$G$8</c:f>
              <c:strCache>
                <c:ptCount val="6"/>
                <c:pt idx="0">
                  <c:v>Under 16</c:v>
                </c:pt>
                <c:pt idx="1">
                  <c:v>16 to 19</c:v>
                </c:pt>
                <c:pt idx="2">
                  <c:v>20 to 29</c:v>
                </c:pt>
                <c:pt idx="3">
                  <c:v>30 to 59</c:v>
                </c:pt>
                <c:pt idx="4">
                  <c:v>60 to 74</c:v>
                </c:pt>
                <c:pt idx="5">
                  <c:v>75+</c:v>
                </c:pt>
              </c:strCache>
            </c:strRef>
          </c:cat>
          <c:val>
            <c:numRef>
              <c:f>'Age Profile'!$B$12:$G$12</c:f>
              <c:numCache>
                <c:formatCode>0.0%</c:formatCode>
                <c:ptCount val="6"/>
                <c:pt idx="0">
                  <c:v>0.18427033749303143</c:v>
                </c:pt>
                <c:pt idx="1">
                  <c:v>5.7283760024014752E-2</c:v>
                </c:pt>
                <c:pt idx="2">
                  <c:v>0.11280072044255757</c:v>
                </c:pt>
                <c:pt idx="3">
                  <c:v>0.39305287533770744</c:v>
                </c:pt>
                <c:pt idx="4">
                  <c:v>0.1615506668382006</c:v>
                </c:pt>
                <c:pt idx="5">
                  <c:v>9.1041639864488183E-2</c:v>
                </c:pt>
              </c:numCache>
            </c:numRef>
          </c:val>
          <c:smooth val="0"/>
        </c:ser>
        <c:ser>
          <c:idx val="1"/>
          <c:order val="1"/>
          <c:tx>
            <c:strRef>
              <c:f>'Age Profile'!$A$13</c:f>
              <c:strCache>
                <c:ptCount val="1"/>
                <c:pt idx="0">
                  <c:v>England &amp; Wales</c:v>
                </c:pt>
              </c:strCache>
            </c:strRef>
          </c:tx>
          <c:marker>
            <c:symbol val="none"/>
          </c:marker>
          <c:cat>
            <c:strRef>
              <c:f>'Age Profile'!$B$8:$G$8</c:f>
              <c:strCache>
                <c:ptCount val="6"/>
                <c:pt idx="0">
                  <c:v>Under 16</c:v>
                </c:pt>
                <c:pt idx="1">
                  <c:v>16 to 19</c:v>
                </c:pt>
                <c:pt idx="2">
                  <c:v>20 to 29</c:v>
                </c:pt>
                <c:pt idx="3">
                  <c:v>30 to 59</c:v>
                </c:pt>
                <c:pt idx="4">
                  <c:v>60 to 74</c:v>
                </c:pt>
                <c:pt idx="5">
                  <c:v>75+</c:v>
                </c:pt>
              </c:strCache>
            </c:strRef>
          </c:cat>
          <c:val>
            <c:numRef>
              <c:f>'Age Profile'!$B$13:$G$13</c:f>
              <c:numCache>
                <c:formatCode>0.0%</c:formatCode>
                <c:ptCount val="6"/>
                <c:pt idx="0">
                  <c:v>0.18865733293824985</c:v>
                </c:pt>
                <c:pt idx="1">
                  <c:v>5.0848767292451705E-2</c:v>
                </c:pt>
                <c:pt idx="2">
                  <c:v>0.13631261137580786</c:v>
                </c:pt>
                <c:pt idx="3">
                  <c:v>0.39948168832278647</c:v>
                </c:pt>
                <c:pt idx="4">
                  <c:v>0.14676524565485444</c:v>
                </c:pt>
                <c:pt idx="5">
                  <c:v>7.7934354415849713E-2</c:v>
                </c:pt>
              </c:numCache>
            </c:numRef>
          </c:val>
          <c:smooth val="0"/>
        </c:ser>
        <c:dLbls>
          <c:showLegendKey val="0"/>
          <c:showVal val="0"/>
          <c:showCatName val="0"/>
          <c:showSerName val="0"/>
          <c:showPercent val="0"/>
          <c:showBubbleSize val="0"/>
        </c:dLbls>
        <c:marker val="1"/>
        <c:smooth val="0"/>
        <c:axId val="50218112"/>
        <c:axId val="50219648"/>
      </c:lineChart>
      <c:catAx>
        <c:axId val="50218112"/>
        <c:scaling>
          <c:orientation val="minMax"/>
        </c:scaling>
        <c:delete val="0"/>
        <c:axPos val="b"/>
        <c:numFmt formatCode="General" sourceLinked="1"/>
        <c:majorTickMark val="out"/>
        <c:minorTickMark val="none"/>
        <c:tickLblPos val="nextTo"/>
        <c:crossAx val="50219648"/>
        <c:crosses val="autoZero"/>
        <c:auto val="1"/>
        <c:lblAlgn val="ctr"/>
        <c:lblOffset val="100"/>
        <c:noMultiLvlLbl val="0"/>
      </c:catAx>
      <c:valAx>
        <c:axId val="50219648"/>
        <c:scaling>
          <c:orientation val="minMax"/>
          <c:max val="0.4"/>
        </c:scaling>
        <c:delete val="0"/>
        <c:axPos val="l"/>
        <c:majorGridlines/>
        <c:numFmt formatCode="0.0%" sourceLinked="1"/>
        <c:majorTickMark val="out"/>
        <c:minorTickMark val="none"/>
        <c:tickLblPos val="nextTo"/>
        <c:crossAx val="50218112"/>
        <c:crosses val="autoZero"/>
        <c:crossBetween val="between"/>
        <c:majorUnit val="5.000000000000001E-2"/>
        <c:minorUnit val="1.0000000000000002E-2"/>
      </c:valAx>
      <c:dTable>
        <c:showHorzBorder val="1"/>
        <c:showVertBorder val="1"/>
        <c:showOutline val="1"/>
        <c:showKeys val="0"/>
      </c:dTable>
    </c:plotArea>
    <c:legend>
      <c:legendPos val="b"/>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n-US" sz="1400" u="sng"/>
              <a:t>Comparison of Economically Active </a:t>
            </a:r>
          </a:p>
        </c:rich>
      </c:tx>
      <c:overlay val="0"/>
    </c:title>
    <c:autoTitleDeleted val="0"/>
    <c:plotArea>
      <c:layout>
        <c:manualLayout>
          <c:layoutTarget val="inner"/>
          <c:xMode val="edge"/>
          <c:yMode val="edge"/>
          <c:x val="0.31434768530077939"/>
          <c:y val="2.0753229375739795E-2"/>
          <c:w val="0.63979021235241673"/>
          <c:h val="0.53035932273171738"/>
        </c:manualLayout>
      </c:layout>
      <c:barChart>
        <c:barDir val="bar"/>
        <c:grouping val="stacked"/>
        <c:varyColors val="0"/>
        <c:ser>
          <c:idx val="0"/>
          <c:order val="0"/>
          <c:tx>
            <c:strRef>
              <c:f>'Econ Act'!$B$9</c:f>
              <c:strCache>
                <c:ptCount val="1"/>
                <c:pt idx="0">
                  <c:v>Employed</c:v>
                </c:pt>
              </c:strCache>
            </c:strRef>
          </c:tx>
          <c:spPr>
            <a:effectLst/>
            <a:scene3d>
              <a:camera prst="orthographicFront"/>
              <a:lightRig rig="threePt" dir="t"/>
            </a:scene3d>
            <a:sp3d>
              <a:bevelT w="38100"/>
            </a:sp3d>
          </c:spPr>
          <c:invertIfNegative val="0"/>
          <c:cat>
            <c:strRef>
              <c:f>'Econ Act'!$A$14:$A$15</c:f>
              <c:strCache>
                <c:ptCount val="2"/>
                <c:pt idx="0">
                  <c:v>Winchester 2011</c:v>
                </c:pt>
                <c:pt idx="1">
                  <c:v>England &amp; Wales 2011</c:v>
                </c:pt>
              </c:strCache>
            </c:strRef>
          </c:cat>
          <c:val>
            <c:numRef>
              <c:f>'Econ Act'!$B$14:$B$15</c:f>
              <c:numCache>
                <c:formatCode>0.0%</c:formatCode>
                <c:ptCount val="2"/>
                <c:pt idx="0">
                  <c:v>0.63997869696431742</c:v>
                </c:pt>
                <c:pt idx="1">
                  <c:v>0.61881848071829038</c:v>
                </c:pt>
              </c:numCache>
            </c:numRef>
          </c:val>
        </c:ser>
        <c:ser>
          <c:idx val="1"/>
          <c:order val="1"/>
          <c:tx>
            <c:strRef>
              <c:f>'Econ Act'!$C$9</c:f>
              <c:strCache>
                <c:ptCount val="1"/>
                <c:pt idx="0">
                  <c:v>Unemployed</c:v>
                </c:pt>
              </c:strCache>
            </c:strRef>
          </c:tx>
          <c:invertIfNegative val="0"/>
          <c:cat>
            <c:strRef>
              <c:f>'Econ Act'!$A$14:$A$15</c:f>
              <c:strCache>
                <c:ptCount val="2"/>
                <c:pt idx="0">
                  <c:v>Winchester 2011</c:v>
                </c:pt>
                <c:pt idx="1">
                  <c:v>England &amp; Wales 2011</c:v>
                </c:pt>
              </c:strCache>
            </c:strRef>
          </c:cat>
          <c:val>
            <c:numRef>
              <c:f>'Econ Act'!$C$14:$C$15</c:f>
              <c:numCache>
                <c:formatCode>0.0%</c:formatCode>
                <c:ptCount val="2"/>
                <c:pt idx="0">
                  <c:v>2.2995443517367892E-2</c:v>
                </c:pt>
                <c:pt idx="1">
                  <c:v>4.3756075760324115E-2</c:v>
                </c:pt>
              </c:numCache>
            </c:numRef>
          </c:val>
        </c:ser>
        <c:ser>
          <c:idx val="2"/>
          <c:order val="2"/>
          <c:tx>
            <c:strRef>
              <c:f>'Econ Act'!$D$9</c:f>
              <c:strCache>
                <c:ptCount val="1"/>
                <c:pt idx="0">
                  <c:v>Economically active Full-time student</c:v>
                </c:pt>
              </c:strCache>
            </c:strRef>
          </c:tx>
          <c:invertIfNegative val="0"/>
          <c:cat>
            <c:strRef>
              <c:f>'Econ Act'!$A$14:$A$15</c:f>
              <c:strCache>
                <c:ptCount val="2"/>
                <c:pt idx="0">
                  <c:v>Winchester 2011</c:v>
                </c:pt>
                <c:pt idx="1">
                  <c:v>England &amp; Wales 2011</c:v>
                </c:pt>
              </c:strCache>
            </c:strRef>
          </c:cat>
          <c:val>
            <c:numRef>
              <c:f>'Econ Act'!$D$14:$D$15</c:f>
              <c:numCache>
                <c:formatCode>0.0%</c:formatCode>
                <c:ptCount val="2"/>
                <c:pt idx="0">
                  <c:v>4.747026451269306E-2</c:v>
                </c:pt>
                <c:pt idx="1">
                  <c:v>3.4295858586693651E-2</c:v>
                </c:pt>
              </c:numCache>
            </c:numRef>
          </c:val>
        </c:ser>
        <c:ser>
          <c:idx val="3"/>
          <c:order val="3"/>
          <c:tx>
            <c:strRef>
              <c:f>'Econ Act'!$E$9</c:f>
              <c:strCache>
                <c:ptCount val="1"/>
                <c:pt idx="0">
                  <c:v>Retired</c:v>
                </c:pt>
              </c:strCache>
            </c:strRef>
          </c:tx>
          <c:invertIfNegative val="0"/>
          <c:cat>
            <c:strRef>
              <c:f>'Econ Act'!$A$14:$A$15</c:f>
              <c:strCache>
                <c:ptCount val="2"/>
                <c:pt idx="0">
                  <c:v>Winchester 2011</c:v>
                </c:pt>
                <c:pt idx="1">
                  <c:v>England &amp; Wales 2011</c:v>
                </c:pt>
              </c:strCache>
            </c:strRef>
          </c:cat>
          <c:val>
            <c:numRef>
              <c:f>'Econ Act'!$E$14:$E$15</c:f>
              <c:numCache>
                <c:formatCode>0.0%</c:formatCode>
                <c:ptCount val="2"/>
                <c:pt idx="0">
                  <c:v>0.14465944730457422</c:v>
                </c:pt>
                <c:pt idx="1">
                  <c:v>0.13816362864466594</c:v>
                </c:pt>
              </c:numCache>
            </c:numRef>
          </c:val>
        </c:ser>
        <c:ser>
          <c:idx val="4"/>
          <c:order val="4"/>
          <c:tx>
            <c:strRef>
              <c:f>'Econ Act'!$F$9</c:f>
              <c:strCache>
                <c:ptCount val="1"/>
                <c:pt idx="0">
                  <c:v>Economically inactive Student</c:v>
                </c:pt>
              </c:strCache>
            </c:strRef>
          </c:tx>
          <c:invertIfNegative val="0"/>
          <c:cat>
            <c:strRef>
              <c:f>'Econ Act'!$A$14:$A$15</c:f>
              <c:strCache>
                <c:ptCount val="2"/>
                <c:pt idx="0">
                  <c:v>Winchester 2011</c:v>
                </c:pt>
                <c:pt idx="1">
                  <c:v>England &amp; Wales 2011</c:v>
                </c:pt>
              </c:strCache>
            </c:strRef>
          </c:cat>
          <c:val>
            <c:numRef>
              <c:f>'Econ Act'!$F$14:$F$15</c:f>
              <c:numCache>
                <c:formatCode>0.0%</c:formatCode>
                <c:ptCount val="2"/>
                <c:pt idx="0">
                  <c:v>6.7045387301023732E-2</c:v>
                </c:pt>
                <c:pt idx="1">
                  <c:v>5.8106298268709208E-2</c:v>
                </c:pt>
              </c:numCache>
            </c:numRef>
          </c:val>
        </c:ser>
        <c:ser>
          <c:idx val="5"/>
          <c:order val="5"/>
          <c:tx>
            <c:strRef>
              <c:f>'Econ Act'!$G$9</c:f>
              <c:strCache>
                <c:ptCount val="1"/>
                <c:pt idx="0">
                  <c:v>Looking after home or family</c:v>
                </c:pt>
              </c:strCache>
            </c:strRef>
          </c:tx>
          <c:invertIfNegative val="0"/>
          <c:cat>
            <c:strRef>
              <c:f>'Econ Act'!$A$14:$A$15</c:f>
              <c:strCache>
                <c:ptCount val="2"/>
                <c:pt idx="0">
                  <c:v>Winchester 2011</c:v>
                </c:pt>
                <c:pt idx="1">
                  <c:v>England &amp; Wales 2011</c:v>
                </c:pt>
              </c:strCache>
            </c:strRef>
          </c:cat>
          <c:val>
            <c:numRef>
              <c:f>'Econ Act'!$G$14:$G$15</c:f>
              <c:numCache>
                <c:formatCode>0.0%</c:formatCode>
                <c:ptCount val="2"/>
                <c:pt idx="0">
                  <c:v>3.917391561630866E-2</c:v>
                </c:pt>
                <c:pt idx="1">
                  <c:v>4.3318256289004618E-2</c:v>
                </c:pt>
              </c:numCache>
            </c:numRef>
          </c:val>
        </c:ser>
        <c:ser>
          <c:idx val="6"/>
          <c:order val="6"/>
          <c:tx>
            <c:strRef>
              <c:f>'Econ Act'!$H$9</c:f>
              <c:strCache>
                <c:ptCount val="1"/>
                <c:pt idx="0">
                  <c:v>Long-term sick or disabled</c:v>
                </c:pt>
              </c:strCache>
            </c:strRef>
          </c:tx>
          <c:invertIfNegative val="0"/>
          <c:cat>
            <c:strRef>
              <c:f>'Econ Act'!$A$14:$A$15</c:f>
              <c:strCache>
                <c:ptCount val="2"/>
                <c:pt idx="0">
                  <c:v>Winchester 2011</c:v>
                </c:pt>
                <c:pt idx="1">
                  <c:v>England &amp; Wales 2011</c:v>
                </c:pt>
              </c:strCache>
            </c:strRef>
          </c:cat>
          <c:val>
            <c:numRef>
              <c:f>'Econ Act'!$H$14:$H$15</c:f>
              <c:numCache>
                <c:formatCode>0.0%</c:formatCode>
                <c:ptCount val="2"/>
                <c:pt idx="0">
                  <c:v>2.2273507308124742E-2</c:v>
                </c:pt>
                <c:pt idx="1">
                  <c:v>4.1697988695377726E-2</c:v>
                </c:pt>
              </c:numCache>
            </c:numRef>
          </c:val>
        </c:ser>
        <c:ser>
          <c:idx val="7"/>
          <c:order val="7"/>
          <c:tx>
            <c:strRef>
              <c:f>'Econ Act'!$I$9</c:f>
              <c:strCache>
                <c:ptCount val="1"/>
                <c:pt idx="0">
                  <c:v>Economically inactive</c:v>
                </c:pt>
              </c:strCache>
            </c:strRef>
          </c:tx>
          <c:invertIfNegative val="0"/>
          <c:cat>
            <c:strRef>
              <c:f>'Econ Act'!$A$14:$A$15</c:f>
              <c:strCache>
                <c:ptCount val="2"/>
                <c:pt idx="0">
                  <c:v>Winchester 2011</c:v>
                </c:pt>
                <c:pt idx="1">
                  <c:v>England &amp; Wales 2011</c:v>
                </c:pt>
              </c:strCache>
            </c:strRef>
          </c:cat>
          <c:val>
            <c:numRef>
              <c:f>'Econ Act'!$I$14:$I$15</c:f>
              <c:numCache>
                <c:formatCode>0.0%</c:formatCode>
                <c:ptCount val="2"/>
                <c:pt idx="0">
                  <c:v>1.6403337475590272E-2</c:v>
                </c:pt>
                <c:pt idx="1">
                  <c:v>2.1843413036934302E-2</c:v>
                </c:pt>
              </c:numCache>
            </c:numRef>
          </c:val>
        </c:ser>
        <c:dLbls>
          <c:showLegendKey val="0"/>
          <c:showVal val="0"/>
          <c:showCatName val="0"/>
          <c:showSerName val="0"/>
          <c:showPercent val="0"/>
          <c:showBubbleSize val="0"/>
        </c:dLbls>
        <c:gapWidth val="88"/>
        <c:overlap val="10"/>
        <c:axId val="50325760"/>
        <c:axId val="50348032"/>
      </c:barChart>
      <c:catAx>
        <c:axId val="50325760"/>
        <c:scaling>
          <c:orientation val="minMax"/>
        </c:scaling>
        <c:delete val="0"/>
        <c:axPos val="l"/>
        <c:majorTickMark val="none"/>
        <c:minorTickMark val="none"/>
        <c:tickLblPos val="nextTo"/>
        <c:crossAx val="50348032"/>
        <c:crosses val="autoZero"/>
        <c:auto val="1"/>
        <c:lblAlgn val="ctr"/>
        <c:lblOffset val="100"/>
        <c:noMultiLvlLbl val="0"/>
      </c:catAx>
      <c:valAx>
        <c:axId val="50348032"/>
        <c:scaling>
          <c:orientation val="minMax"/>
          <c:max val="1"/>
        </c:scaling>
        <c:delete val="0"/>
        <c:axPos val="b"/>
        <c:majorGridlines/>
        <c:numFmt formatCode="0.0%" sourceLinked="1"/>
        <c:majorTickMark val="none"/>
        <c:minorTickMark val="none"/>
        <c:tickLblPos val="nextTo"/>
        <c:crossAx val="50325760"/>
        <c:crosses val="autoZero"/>
        <c:crossBetween val="between"/>
        <c:majorUnit val="0.1"/>
        <c:minorUnit val="5.000000000000001E-2"/>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n-US" sz="1400" u="sng"/>
              <a:t>Comparison of different </a:t>
            </a:r>
            <a:r>
              <a:rPr lang="en-US" sz="1400" u="sng" baseline="0"/>
              <a:t>sectors of the unemployed</a:t>
            </a:r>
            <a:endParaRPr lang="en-US" sz="1400" u="sng"/>
          </a:p>
        </c:rich>
      </c:tx>
      <c:overlay val="1"/>
    </c:title>
    <c:autoTitleDeleted val="0"/>
    <c:plotArea>
      <c:layout/>
      <c:barChart>
        <c:barDir val="bar"/>
        <c:grouping val="stacked"/>
        <c:varyColors val="0"/>
        <c:ser>
          <c:idx val="0"/>
          <c:order val="0"/>
          <c:tx>
            <c:strRef>
              <c:f>'Econ Act'!$J$9</c:f>
              <c:strCache>
                <c:ptCount val="1"/>
                <c:pt idx="0">
                  <c:v>Unemployed over 50</c:v>
                </c:pt>
              </c:strCache>
            </c:strRef>
          </c:tx>
          <c:invertIfNegative val="0"/>
          <c:cat>
            <c:strRef>
              <c:f>'Econ Act'!$A$13:$A$15</c:f>
              <c:strCache>
                <c:ptCount val="3"/>
                <c:pt idx="0">
                  <c:v>Winchester 2001</c:v>
                </c:pt>
                <c:pt idx="1">
                  <c:v>Winchester 2011</c:v>
                </c:pt>
                <c:pt idx="2">
                  <c:v>England &amp; Wales 2011</c:v>
                </c:pt>
              </c:strCache>
            </c:strRef>
          </c:cat>
          <c:val>
            <c:numRef>
              <c:f>'Econ Act'!$J$13:$J$15</c:f>
              <c:numCache>
                <c:formatCode>0.0%</c:formatCode>
                <c:ptCount val="3"/>
                <c:pt idx="0">
                  <c:v>0.23</c:v>
                </c:pt>
                <c:pt idx="1">
                  <c:v>0.2480699948533196</c:v>
                </c:pt>
                <c:pt idx="2">
                  <c:v>0.18487154466484693</c:v>
                </c:pt>
              </c:numCache>
            </c:numRef>
          </c:val>
        </c:ser>
        <c:ser>
          <c:idx val="1"/>
          <c:order val="1"/>
          <c:tx>
            <c:strRef>
              <c:f>'Econ Act'!$K$9</c:f>
              <c:strCache>
                <c:ptCount val="1"/>
                <c:pt idx="0">
                  <c:v>Never Worked</c:v>
                </c:pt>
              </c:strCache>
            </c:strRef>
          </c:tx>
          <c:invertIfNegative val="0"/>
          <c:cat>
            <c:strRef>
              <c:f>'Econ Act'!$A$13:$A$15</c:f>
              <c:strCache>
                <c:ptCount val="3"/>
                <c:pt idx="0">
                  <c:v>Winchester 2001</c:v>
                </c:pt>
                <c:pt idx="1">
                  <c:v>Winchester 2011</c:v>
                </c:pt>
                <c:pt idx="2">
                  <c:v>England &amp; Wales 2011</c:v>
                </c:pt>
              </c:strCache>
            </c:strRef>
          </c:cat>
          <c:val>
            <c:numRef>
              <c:f>'Econ Act'!$K$13:$K$15</c:f>
              <c:numCache>
                <c:formatCode>0.0%</c:formatCode>
                <c:ptCount val="3"/>
                <c:pt idx="0">
                  <c:v>0.04</c:v>
                </c:pt>
                <c:pt idx="1">
                  <c:v>9.5728255275347396E-2</c:v>
                </c:pt>
                <c:pt idx="2">
                  <c:v>0.16174836179993066</c:v>
                </c:pt>
              </c:numCache>
            </c:numRef>
          </c:val>
        </c:ser>
        <c:ser>
          <c:idx val="2"/>
          <c:order val="2"/>
          <c:tx>
            <c:strRef>
              <c:f>'Econ Act'!$L$9</c:f>
              <c:strCache>
                <c:ptCount val="1"/>
                <c:pt idx="0">
                  <c:v>Long term Unemployed</c:v>
                </c:pt>
              </c:strCache>
            </c:strRef>
          </c:tx>
          <c:invertIfNegative val="0"/>
          <c:cat>
            <c:strRef>
              <c:f>'Econ Act'!$A$13:$A$15</c:f>
              <c:strCache>
                <c:ptCount val="3"/>
                <c:pt idx="0">
                  <c:v>Winchester 2001</c:v>
                </c:pt>
                <c:pt idx="1">
                  <c:v>Winchester 2011</c:v>
                </c:pt>
                <c:pt idx="2">
                  <c:v>England &amp; Wales 2011</c:v>
                </c:pt>
              </c:strCache>
            </c:strRef>
          </c:cat>
          <c:val>
            <c:numRef>
              <c:f>'Econ Act'!$L$13:$L$15</c:f>
              <c:numCache>
                <c:formatCode>0.0%</c:formatCode>
                <c:ptCount val="3"/>
                <c:pt idx="0">
                  <c:v>0.22</c:v>
                </c:pt>
                <c:pt idx="1">
                  <c:v>0.34997426659804426</c:v>
                </c:pt>
                <c:pt idx="2">
                  <c:v>0.39283682015808519</c:v>
                </c:pt>
              </c:numCache>
            </c:numRef>
          </c:val>
        </c:ser>
        <c:dLbls>
          <c:showLegendKey val="0"/>
          <c:showVal val="0"/>
          <c:showCatName val="0"/>
          <c:showSerName val="0"/>
          <c:showPercent val="0"/>
          <c:showBubbleSize val="0"/>
        </c:dLbls>
        <c:gapWidth val="150"/>
        <c:overlap val="100"/>
        <c:axId val="50367104"/>
        <c:axId val="50372992"/>
      </c:barChart>
      <c:catAx>
        <c:axId val="50367104"/>
        <c:scaling>
          <c:orientation val="minMax"/>
        </c:scaling>
        <c:delete val="0"/>
        <c:axPos val="l"/>
        <c:majorTickMark val="out"/>
        <c:minorTickMark val="none"/>
        <c:tickLblPos val="nextTo"/>
        <c:crossAx val="50372992"/>
        <c:crosses val="autoZero"/>
        <c:auto val="1"/>
        <c:lblAlgn val="ctr"/>
        <c:lblOffset val="100"/>
        <c:noMultiLvlLbl val="0"/>
      </c:catAx>
      <c:valAx>
        <c:axId val="50372992"/>
        <c:scaling>
          <c:orientation val="minMax"/>
        </c:scaling>
        <c:delete val="0"/>
        <c:axPos val="b"/>
        <c:majorGridlines/>
        <c:numFmt formatCode="0.0%" sourceLinked="1"/>
        <c:majorTickMark val="out"/>
        <c:minorTickMark val="none"/>
        <c:tickLblPos val="nextTo"/>
        <c:crossAx val="503671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manualLayout>
          <c:layoutTarget val="inner"/>
          <c:xMode val="edge"/>
          <c:yMode val="edge"/>
          <c:x val="0.31318281410475862"/>
          <c:y val="9.5583704210886689E-2"/>
          <c:w val="0.67087515690973409"/>
          <c:h val="0.67124381191481497"/>
        </c:manualLayout>
      </c:layout>
      <c:barChart>
        <c:barDir val="col"/>
        <c:grouping val="clustered"/>
        <c:varyColors val="0"/>
        <c:ser>
          <c:idx val="0"/>
          <c:order val="0"/>
          <c:tx>
            <c:strRef>
              <c:f>Students!$A$17</c:f>
              <c:strCache>
                <c:ptCount val="1"/>
                <c:pt idx="0">
                  <c:v>Percentage of 16+ population qualified to Level 4 (Degree) or above.</c:v>
                </c:pt>
              </c:strCache>
            </c:strRef>
          </c:tx>
          <c:invertIfNegative val="0"/>
          <c:cat>
            <c:strRef>
              <c:f>Students!$B$9:$D$9</c:f>
              <c:strCache>
                <c:ptCount val="3"/>
                <c:pt idx="0">
                  <c:v>Winchester 2001</c:v>
                </c:pt>
                <c:pt idx="1">
                  <c:v>Winchester 2011</c:v>
                </c:pt>
                <c:pt idx="2">
                  <c:v>E&amp;W 2011</c:v>
                </c:pt>
              </c:strCache>
            </c:strRef>
          </c:cat>
          <c:val>
            <c:numRef>
              <c:f>Students!$B$17:$D$17</c:f>
              <c:numCache>
                <c:formatCode>0.0%</c:formatCode>
                <c:ptCount val="3"/>
                <c:pt idx="0">
                  <c:v>0.30199999999999999</c:v>
                </c:pt>
                <c:pt idx="1">
                  <c:v>0.40657133845021554</c:v>
                </c:pt>
                <c:pt idx="2">
                  <c:v>0.27218359189375602</c:v>
                </c:pt>
              </c:numCache>
            </c:numRef>
          </c:val>
        </c:ser>
        <c:dLbls>
          <c:showLegendKey val="0"/>
          <c:showVal val="0"/>
          <c:showCatName val="0"/>
          <c:showSerName val="0"/>
          <c:showPercent val="0"/>
          <c:showBubbleSize val="0"/>
        </c:dLbls>
        <c:gapWidth val="150"/>
        <c:axId val="60098048"/>
        <c:axId val="60099584"/>
      </c:barChart>
      <c:catAx>
        <c:axId val="60098048"/>
        <c:scaling>
          <c:orientation val="minMax"/>
        </c:scaling>
        <c:delete val="0"/>
        <c:axPos val="b"/>
        <c:majorTickMark val="out"/>
        <c:minorTickMark val="none"/>
        <c:tickLblPos val="nextTo"/>
        <c:crossAx val="60099584"/>
        <c:crosses val="autoZero"/>
        <c:auto val="1"/>
        <c:lblAlgn val="ctr"/>
        <c:lblOffset val="100"/>
        <c:noMultiLvlLbl val="0"/>
      </c:catAx>
      <c:valAx>
        <c:axId val="60099584"/>
        <c:scaling>
          <c:orientation val="minMax"/>
          <c:max val="0.4"/>
        </c:scaling>
        <c:delete val="0"/>
        <c:axPos val="l"/>
        <c:majorGridlines>
          <c:spPr>
            <a:ln>
              <a:noFill/>
            </a:ln>
          </c:spPr>
        </c:majorGridlines>
        <c:numFmt formatCode="0.0%" sourceLinked="1"/>
        <c:majorTickMark val="out"/>
        <c:minorTickMark val="none"/>
        <c:tickLblPos val="nextTo"/>
        <c:spPr>
          <a:ln>
            <a:noFill/>
          </a:ln>
        </c:spPr>
        <c:crossAx val="60098048"/>
        <c:crosses val="autoZero"/>
        <c:crossBetween val="between"/>
      </c:valAx>
      <c:dTable>
        <c:showHorzBorder val="1"/>
        <c:showVertBorder val="1"/>
        <c:showOutline val="1"/>
        <c:showKeys val="1"/>
      </c:dTable>
      <c:spPr>
        <a:ln>
          <a:noFill/>
        </a:ln>
      </c:spPr>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Comparison of main ethnic groups.</a:t>
            </a:r>
          </a:p>
        </c:rich>
      </c:tx>
      <c:layout>
        <c:manualLayout>
          <c:xMode val="edge"/>
          <c:yMode val="edge"/>
          <c:x val="0.24997222222222223"/>
          <c:y val="0"/>
        </c:manualLayout>
      </c:layout>
      <c:overlay val="0"/>
    </c:title>
    <c:autoTitleDeleted val="0"/>
    <c:plotArea>
      <c:layout>
        <c:manualLayout>
          <c:layoutTarget val="inner"/>
          <c:xMode val="edge"/>
          <c:yMode val="edge"/>
          <c:x val="0.12703018372703412"/>
          <c:y val="8.6817220764071154E-2"/>
          <c:w val="0.84241426071741032"/>
          <c:h val="0.68570793234179062"/>
        </c:manualLayout>
      </c:layout>
      <c:barChart>
        <c:barDir val="col"/>
        <c:grouping val="stacked"/>
        <c:varyColors val="0"/>
        <c:ser>
          <c:idx val="0"/>
          <c:order val="0"/>
          <c:tx>
            <c:strRef>
              <c:f>Ethnicity!$A$15</c:f>
              <c:strCache>
                <c:ptCount val="1"/>
                <c:pt idx="0">
                  <c:v>White</c:v>
                </c:pt>
              </c:strCache>
            </c:strRef>
          </c:tx>
          <c:invertIfNegative val="0"/>
          <c:cat>
            <c:strRef>
              <c:f>Ethnicity!$B$14:$D$14</c:f>
              <c:strCache>
                <c:ptCount val="3"/>
                <c:pt idx="0">
                  <c:v>Win 2001</c:v>
                </c:pt>
                <c:pt idx="1">
                  <c:v>Win 2011</c:v>
                </c:pt>
                <c:pt idx="2">
                  <c:v>E&amp;W 2011</c:v>
                </c:pt>
              </c:strCache>
            </c:strRef>
          </c:cat>
          <c:val>
            <c:numRef>
              <c:f>Ethnicity!$B$15:$D$15</c:f>
              <c:numCache>
                <c:formatCode>0.0%</c:formatCode>
                <c:ptCount val="3"/>
                <c:pt idx="0">
                  <c:v>0.97799999999999998</c:v>
                </c:pt>
                <c:pt idx="1">
                  <c:v>0.95696213388224205</c:v>
                </c:pt>
                <c:pt idx="2">
                  <c:v>0.85971664624910604</c:v>
                </c:pt>
              </c:numCache>
            </c:numRef>
          </c:val>
        </c:ser>
        <c:ser>
          <c:idx val="1"/>
          <c:order val="1"/>
          <c:tx>
            <c:strRef>
              <c:f>Ethnicity!$A$17</c:f>
              <c:strCache>
                <c:ptCount val="1"/>
                <c:pt idx="0">
                  <c:v>Mixed</c:v>
                </c:pt>
              </c:strCache>
            </c:strRef>
          </c:tx>
          <c:invertIfNegative val="0"/>
          <c:cat>
            <c:strRef>
              <c:f>Ethnicity!$B$14:$D$14</c:f>
              <c:strCache>
                <c:ptCount val="3"/>
                <c:pt idx="0">
                  <c:v>Win 2001</c:v>
                </c:pt>
                <c:pt idx="1">
                  <c:v>Win 2011</c:v>
                </c:pt>
                <c:pt idx="2">
                  <c:v>E&amp;W 2011</c:v>
                </c:pt>
              </c:strCache>
            </c:strRef>
          </c:cat>
          <c:val>
            <c:numRef>
              <c:f>Ethnicity!$B$17:$D$17</c:f>
              <c:numCache>
                <c:formatCode>0.0%</c:formatCode>
                <c:ptCount val="3"/>
                <c:pt idx="0">
                  <c:v>6.0000000000000001E-3</c:v>
                </c:pt>
                <c:pt idx="1">
                  <c:v>1.394570950726875E-2</c:v>
                </c:pt>
                <c:pt idx="2">
                  <c:v>2.1834687236116639E-2</c:v>
                </c:pt>
              </c:numCache>
            </c:numRef>
          </c:val>
        </c:ser>
        <c:ser>
          <c:idx val="2"/>
          <c:order val="2"/>
          <c:tx>
            <c:strRef>
              <c:f>Ethnicity!$A$18</c:f>
              <c:strCache>
                <c:ptCount val="1"/>
                <c:pt idx="0">
                  <c:v>Asian</c:v>
                </c:pt>
              </c:strCache>
            </c:strRef>
          </c:tx>
          <c:invertIfNegative val="0"/>
          <c:cat>
            <c:strRef>
              <c:f>Ethnicity!$B$14:$D$14</c:f>
              <c:strCache>
                <c:ptCount val="3"/>
                <c:pt idx="0">
                  <c:v>Win 2001</c:v>
                </c:pt>
                <c:pt idx="1">
                  <c:v>Win 2011</c:v>
                </c:pt>
                <c:pt idx="2">
                  <c:v>E&amp;W 2011</c:v>
                </c:pt>
              </c:strCache>
            </c:strRef>
          </c:cat>
          <c:val>
            <c:numRef>
              <c:f>Ethnicity!$B$18:$D$18</c:f>
              <c:numCache>
                <c:formatCode>0.0%</c:formatCode>
                <c:ptCount val="3"/>
                <c:pt idx="0">
                  <c:v>7.0000000000000001E-3</c:v>
                </c:pt>
                <c:pt idx="1">
                  <c:v>1.6244264333805054E-2</c:v>
                </c:pt>
                <c:pt idx="2">
                  <c:v>6.8128896414560325E-2</c:v>
                </c:pt>
              </c:numCache>
            </c:numRef>
          </c:val>
        </c:ser>
        <c:ser>
          <c:idx val="3"/>
          <c:order val="3"/>
          <c:tx>
            <c:strRef>
              <c:f>Ethnicity!$A$23</c:f>
              <c:strCache>
                <c:ptCount val="1"/>
                <c:pt idx="0">
                  <c:v>Black</c:v>
                </c:pt>
              </c:strCache>
            </c:strRef>
          </c:tx>
          <c:invertIfNegative val="0"/>
          <c:cat>
            <c:strRef>
              <c:f>Ethnicity!$B$14:$D$14</c:f>
              <c:strCache>
                <c:ptCount val="3"/>
                <c:pt idx="0">
                  <c:v>Win 2001</c:v>
                </c:pt>
                <c:pt idx="1">
                  <c:v>Win 2011</c:v>
                </c:pt>
                <c:pt idx="2">
                  <c:v>E&amp;W 2011</c:v>
                </c:pt>
              </c:strCache>
            </c:strRef>
          </c:cat>
          <c:val>
            <c:numRef>
              <c:f>Ethnicity!$B$23:$D$23</c:f>
              <c:numCache>
                <c:formatCode>0.0%</c:formatCode>
                <c:ptCount val="3"/>
                <c:pt idx="0">
                  <c:v>2E-3</c:v>
                </c:pt>
                <c:pt idx="1">
                  <c:v>3.9195505810712301E-3</c:v>
                </c:pt>
                <c:pt idx="2">
                  <c:v>3.3256525547012063E-2</c:v>
                </c:pt>
              </c:numCache>
            </c:numRef>
          </c:val>
        </c:ser>
        <c:ser>
          <c:idx val="4"/>
          <c:order val="4"/>
          <c:tx>
            <c:strRef>
              <c:f>Ethnicity!$A$27</c:f>
              <c:strCache>
                <c:ptCount val="1"/>
                <c:pt idx="0">
                  <c:v>Chinese or Other</c:v>
                </c:pt>
              </c:strCache>
            </c:strRef>
          </c:tx>
          <c:invertIfNegative val="0"/>
          <c:cat>
            <c:strRef>
              <c:f>Ethnicity!$B$14:$D$14</c:f>
              <c:strCache>
                <c:ptCount val="3"/>
                <c:pt idx="0">
                  <c:v>Win 2001</c:v>
                </c:pt>
                <c:pt idx="1">
                  <c:v>Win 2011</c:v>
                </c:pt>
                <c:pt idx="2">
                  <c:v>E&amp;W 2011</c:v>
                </c:pt>
              </c:strCache>
            </c:strRef>
          </c:cat>
          <c:val>
            <c:numRef>
              <c:f>Ethnicity!$B$27:$D$27</c:f>
              <c:numCache>
                <c:formatCode>0.0%</c:formatCode>
                <c:ptCount val="3"/>
                <c:pt idx="0">
                  <c:v>6.0000000000000001E-3</c:v>
                </c:pt>
                <c:pt idx="1">
                  <c:v>8.9283416956130197E-3</c:v>
                </c:pt>
                <c:pt idx="2">
                  <c:v>1.7063244553204949E-2</c:v>
                </c:pt>
              </c:numCache>
            </c:numRef>
          </c:val>
        </c:ser>
        <c:dLbls>
          <c:showLegendKey val="0"/>
          <c:showVal val="0"/>
          <c:showCatName val="0"/>
          <c:showSerName val="0"/>
          <c:showPercent val="0"/>
          <c:showBubbleSize val="0"/>
        </c:dLbls>
        <c:gapWidth val="150"/>
        <c:overlap val="100"/>
        <c:axId val="60169600"/>
        <c:axId val="60183680"/>
      </c:barChart>
      <c:catAx>
        <c:axId val="60169600"/>
        <c:scaling>
          <c:orientation val="minMax"/>
        </c:scaling>
        <c:delete val="0"/>
        <c:axPos val="b"/>
        <c:majorTickMark val="out"/>
        <c:minorTickMark val="none"/>
        <c:tickLblPos val="nextTo"/>
        <c:crossAx val="60183680"/>
        <c:crosses val="autoZero"/>
        <c:auto val="1"/>
        <c:lblAlgn val="ctr"/>
        <c:lblOffset val="100"/>
        <c:noMultiLvlLbl val="0"/>
      </c:catAx>
      <c:valAx>
        <c:axId val="60183680"/>
        <c:scaling>
          <c:orientation val="minMax"/>
          <c:max val="1"/>
          <c:min val="0.85000000000000009"/>
        </c:scaling>
        <c:delete val="0"/>
        <c:axPos val="l"/>
        <c:majorGridlines/>
        <c:numFmt formatCode="0.0%" sourceLinked="1"/>
        <c:majorTickMark val="out"/>
        <c:minorTickMark val="none"/>
        <c:tickLblPos val="nextTo"/>
        <c:crossAx val="60169600"/>
        <c:crosses val="autoZero"/>
        <c:crossBetween val="between"/>
      </c:valAx>
    </c:plotArea>
    <c:legend>
      <c:legendPos val="b"/>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0.16534</cdr:x>
      <cdr:y>0.51262</cdr:y>
    </cdr:from>
    <cdr:to>
      <cdr:x>0.36401</cdr:x>
      <cdr:y>0.72773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85850" y="1838325"/>
          <a:ext cx="1304762" cy="771429"/>
        </a:xfrm>
        <a:prstGeom xmlns:a="http://schemas.openxmlformats.org/drawingml/2006/main" prst="rect">
          <a:avLst/>
        </a:prstGeom>
      </cdr:spPr>
    </cdr:pic>
  </cdr:relSizeAnchor>
  <cdr:relSizeAnchor xmlns:cdr="http://schemas.openxmlformats.org/drawingml/2006/chartDrawing">
    <cdr:from>
      <cdr:x>0.74547</cdr:x>
      <cdr:y>0.02922</cdr:y>
    </cdr:from>
    <cdr:to>
      <cdr:x>0.84698</cdr:x>
      <cdr:y>0.28416</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899415" y="104927"/>
          <a:ext cx="667149" cy="915470"/>
        </a:xfrm>
        <a:prstGeom xmlns:a="http://schemas.openxmlformats.org/drawingml/2006/main" prst="rect">
          <a:avLst/>
        </a:prstGeom>
      </cdr:spPr>
    </cdr:pic>
  </cdr:relSizeAnchor>
  <cdr:relSizeAnchor xmlns:cdr="http://schemas.openxmlformats.org/drawingml/2006/chartDrawing">
    <cdr:from>
      <cdr:x>0.39449</cdr:x>
      <cdr:y>0.29748</cdr:y>
    </cdr:from>
    <cdr:to>
      <cdr:x>0.53154</cdr:x>
      <cdr:y>0.47527</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590800" y="1066800"/>
          <a:ext cx="900113" cy="637580"/>
        </a:xfrm>
        <a:prstGeom xmlns:a="http://schemas.openxmlformats.org/drawingml/2006/main" prst="rect">
          <a:avLst/>
        </a:prstGeom>
      </cdr:spPr>
    </cdr:pic>
  </cdr:relSizeAnchor>
  <cdr:relSizeAnchor xmlns:cdr="http://schemas.openxmlformats.org/drawingml/2006/chartDrawing">
    <cdr:from>
      <cdr:x>0.533</cdr:x>
      <cdr:y>0.46879</cdr:y>
    </cdr:from>
    <cdr:to>
      <cdr:x>0.66207</cdr:x>
      <cdr:y>0.70518</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3503009" y="1683390"/>
          <a:ext cx="848281" cy="848858"/>
        </a:xfrm>
        <a:prstGeom xmlns:a="http://schemas.openxmlformats.org/drawingml/2006/main" prst="rect">
          <a:avLst/>
        </a:prstGeom>
      </cdr:spPr>
    </cdr:pic>
  </cdr:relSizeAnchor>
  <cdr:relSizeAnchor xmlns:cdr="http://schemas.openxmlformats.org/drawingml/2006/chartDrawing">
    <cdr:from>
      <cdr:x>0.59898</cdr:x>
      <cdr:y>0.26826</cdr:y>
    </cdr:from>
    <cdr:to>
      <cdr:x>0.72443</cdr:x>
      <cdr:y>0.41833</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936646" y="963302"/>
          <a:ext cx="824489" cy="538890"/>
        </a:xfrm>
        <a:prstGeom xmlns:a="http://schemas.openxmlformats.org/drawingml/2006/main" prst="rect">
          <a:avLst/>
        </a:prstGeom>
      </cdr:spPr>
    </cdr:pic>
  </cdr:relSizeAnchor>
  <cdr:relSizeAnchor xmlns:cdr="http://schemas.openxmlformats.org/drawingml/2006/chartDrawing">
    <cdr:from>
      <cdr:x>0.87921</cdr:x>
      <cdr:y>0.25764</cdr:y>
    </cdr:from>
    <cdr:to>
      <cdr:x>0.98476</cdr:x>
      <cdr:y>0.52457</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6"/>
        <a:stretch xmlns:a="http://schemas.openxmlformats.org/drawingml/2006/main">
          <a:fillRect/>
        </a:stretch>
      </cdr:blipFill>
      <cdr:spPr>
        <a:xfrm xmlns:a="http://schemas.openxmlformats.org/drawingml/2006/main">
          <a:off x="5778388" y="925166"/>
          <a:ext cx="693701" cy="95852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0.84422</cdr:x>
      <cdr:y>0.31942</cdr:y>
    </cdr:from>
    <cdr:to>
      <cdr:x>0.94591</cdr:x>
      <cdr:y>0.80745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838684" y="1175598"/>
          <a:ext cx="582780" cy="1796202"/>
        </a:xfrm>
        <a:prstGeom xmlns:a="http://schemas.openxmlformats.org/drawingml/2006/main" prst="rect">
          <a:avLst/>
        </a:prstGeom>
        <a:ln xmlns:a="http://schemas.openxmlformats.org/drawingml/2006/main">
          <a:noFill/>
        </a:ln>
      </cdr:spPr>
    </cdr:pic>
  </cdr:relSizeAnchor>
  <cdr:relSizeAnchor xmlns:cdr="http://schemas.openxmlformats.org/drawingml/2006/chartDrawing">
    <cdr:from>
      <cdr:x>0.61573</cdr:x>
      <cdr:y>0.09058</cdr:y>
    </cdr:from>
    <cdr:to>
      <cdr:x>0.73421</cdr:x>
      <cdr:y>0.81522</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29052" y="333375"/>
          <a:ext cx="679069" cy="2667000"/>
        </a:xfrm>
        <a:prstGeom xmlns:a="http://schemas.openxmlformats.org/drawingml/2006/main" prst="rect">
          <a:avLst/>
        </a:prstGeom>
        <a:ln xmlns:a="http://schemas.openxmlformats.org/drawingml/2006/main">
          <a:noFill/>
        </a:ln>
      </cdr:spPr>
    </cdr:pic>
  </cdr:relSizeAnchor>
  <cdr:relSizeAnchor xmlns:cdr="http://schemas.openxmlformats.org/drawingml/2006/chartDrawing">
    <cdr:from>
      <cdr:x>0.38964</cdr:x>
      <cdr:y>0.2342</cdr:y>
    </cdr:from>
    <cdr:to>
      <cdr:x>0.49113</cdr:x>
      <cdr:y>0.80971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33215" y="861979"/>
          <a:ext cx="581691" cy="2118142"/>
        </a:xfrm>
        <a:prstGeom xmlns:a="http://schemas.openxmlformats.org/drawingml/2006/main" prst="rect">
          <a:avLst/>
        </a:prstGeom>
        <a:solidFill xmlns:a="http://schemas.openxmlformats.org/drawingml/2006/main">
          <a:schemeClr val="accent1"/>
        </a:solidFill>
        <a:ln xmlns:a="http://schemas.openxmlformats.org/drawingml/2006/main">
          <a:solidFill>
            <a:schemeClr val="bg1"/>
          </a:solid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Kelly</dc:creator>
  <cp:lastModifiedBy>John Kelly</cp:lastModifiedBy>
  <cp:revision>2</cp:revision>
  <dcterms:created xsi:type="dcterms:W3CDTF">2014-12-02T12:43:00Z</dcterms:created>
  <dcterms:modified xsi:type="dcterms:W3CDTF">2014-12-02T12:43:00Z</dcterms:modified>
</cp:coreProperties>
</file>