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029" w:type="dxa"/>
        <w:tblLook w:val="04A0" w:firstRow="1" w:lastRow="0" w:firstColumn="1" w:lastColumn="0" w:noHBand="0" w:noVBand="1"/>
      </w:tblPr>
      <w:tblGrid>
        <w:gridCol w:w="1980"/>
        <w:gridCol w:w="12049"/>
      </w:tblGrid>
      <w:tr w:rsidR="00080132" w:rsidRPr="00997253" w14:paraId="3600E644" w14:textId="77777777" w:rsidTr="00080132">
        <w:tc>
          <w:tcPr>
            <w:tcW w:w="1980" w:type="dxa"/>
          </w:tcPr>
          <w:p w14:paraId="79164BC2" w14:textId="77777777" w:rsidR="00080132" w:rsidRPr="00997253" w:rsidRDefault="00080132">
            <w:pPr>
              <w:rPr>
                <w:rFonts w:ascii="Arial" w:hAnsi="Arial" w:cs="Arial"/>
                <w:b/>
                <w:bCs/>
              </w:rPr>
            </w:pPr>
            <w:r w:rsidRPr="00997253">
              <w:rPr>
                <w:rFonts w:ascii="Arial" w:hAnsi="Arial" w:cs="Arial"/>
                <w:b/>
                <w:bCs/>
              </w:rPr>
              <w:t>Activity</w:t>
            </w:r>
          </w:p>
        </w:tc>
        <w:tc>
          <w:tcPr>
            <w:tcW w:w="12049" w:type="dxa"/>
          </w:tcPr>
          <w:p w14:paraId="6765587F" w14:textId="77777777" w:rsidR="00080132" w:rsidRPr="00997253" w:rsidRDefault="00080132">
            <w:pPr>
              <w:rPr>
                <w:rFonts w:ascii="Arial" w:hAnsi="Arial" w:cs="Arial"/>
                <w:b/>
                <w:bCs/>
              </w:rPr>
            </w:pPr>
            <w:r w:rsidRPr="00997253">
              <w:rPr>
                <w:rFonts w:ascii="Arial" w:hAnsi="Arial" w:cs="Arial"/>
                <w:b/>
                <w:bCs/>
              </w:rPr>
              <w:t>Discussion Summary/ Notes</w:t>
            </w:r>
          </w:p>
        </w:tc>
      </w:tr>
      <w:tr w:rsidR="00080132" w:rsidRPr="00997253" w14:paraId="0C6E2EBD" w14:textId="77777777" w:rsidTr="00080132">
        <w:tc>
          <w:tcPr>
            <w:tcW w:w="1980" w:type="dxa"/>
          </w:tcPr>
          <w:p w14:paraId="5B8E8848" w14:textId="77777777" w:rsidR="00E2008E" w:rsidRDefault="009B29AE">
            <w:pPr>
              <w:spacing w:after="60"/>
            </w:pPr>
            <w:r>
              <w:rPr>
                <w:rFonts w:ascii="Arial" w:hAnsi="Arial"/>
                <w:b/>
                <w:sz w:val="20"/>
              </w:rPr>
              <w:t>Check-in</w:t>
            </w:r>
          </w:p>
        </w:tc>
        <w:tc>
          <w:tcPr>
            <w:tcW w:w="12049" w:type="dxa"/>
          </w:tcPr>
          <w:p w14:paraId="060F1A3C" w14:textId="77777777" w:rsidR="00E2008E" w:rsidRDefault="009B29AE">
            <w:pPr>
              <w:spacing w:after="60"/>
            </w:pPr>
            <w:r>
              <w:rPr>
                <w:rFonts w:ascii="Arial" w:hAnsi="Arial"/>
                <w:sz w:val="20"/>
              </w:rPr>
              <w:t>The session began with a warm welcome and introductions before exploring what tenants should be able to expect from Winchester City Council as their landlord and what helps tenants hold Housing Services to account.</w:t>
            </w:r>
          </w:p>
        </w:tc>
      </w:tr>
      <w:tr w:rsidR="00080132" w:rsidRPr="00997253" w14:paraId="73308B23" w14:textId="77777777" w:rsidTr="00080132">
        <w:tc>
          <w:tcPr>
            <w:tcW w:w="1980" w:type="dxa"/>
          </w:tcPr>
          <w:p w14:paraId="7A03D250" w14:textId="77777777" w:rsidR="00E2008E" w:rsidRDefault="009B29AE">
            <w:pPr>
              <w:spacing w:after="60"/>
            </w:pPr>
            <w:r>
              <w:rPr>
                <w:rFonts w:ascii="Arial" w:hAnsi="Arial"/>
                <w:b/>
                <w:sz w:val="20"/>
              </w:rPr>
              <w:t>Service Update</w:t>
            </w:r>
          </w:p>
        </w:tc>
        <w:tc>
          <w:tcPr>
            <w:tcW w:w="12049" w:type="dxa"/>
          </w:tcPr>
          <w:p w14:paraId="7FA8361A" w14:textId="77777777" w:rsidR="00E2008E" w:rsidRDefault="009B29AE">
            <w:pPr>
              <w:spacing w:after="60"/>
            </w:pPr>
            <w:r>
              <w:rPr>
                <w:rFonts w:ascii="Arial" w:hAnsi="Arial"/>
                <w:sz w:val="20"/>
              </w:rPr>
              <w:t>The session considered communication, performance information, accountability and tenant influence. The group discussed how information and engagement can help tenants understand how services are performing and challenge or influence the Council when improvement is needed.</w:t>
            </w:r>
          </w:p>
        </w:tc>
      </w:tr>
      <w:tr w:rsidR="00080132" w:rsidRPr="00997253" w14:paraId="6B6963CC" w14:textId="77777777" w:rsidTr="00080132">
        <w:trPr>
          <w:trHeight w:val="1176"/>
        </w:trPr>
        <w:tc>
          <w:tcPr>
            <w:tcW w:w="1980" w:type="dxa"/>
          </w:tcPr>
          <w:p w14:paraId="2856BC1F" w14:textId="77777777" w:rsidR="00E2008E" w:rsidRDefault="009B29AE">
            <w:pPr>
              <w:spacing w:after="60"/>
            </w:pPr>
            <w:r>
              <w:rPr>
                <w:rFonts w:ascii="Arial" w:hAnsi="Arial"/>
                <w:b/>
                <w:sz w:val="20"/>
              </w:rPr>
              <w:t>Deep-dive Topic:</w:t>
            </w:r>
          </w:p>
          <w:p w14:paraId="227BB539" w14:textId="77777777" w:rsidR="00E2008E" w:rsidRDefault="009B29AE">
            <w:pPr>
              <w:spacing w:after="60"/>
            </w:pPr>
            <w:r>
              <w:rPr>
                <w:rFonts w:ascii="Arial" w:hAnsi="Arial"/>
                <w:sz w:val="20"/>
              </w:rPr>
              <w:t>Holding Your Landlord to Account</w:t>
            </w:r>
          </w:p>
          <w:p w14:paraId="7EE41BE0" w14:textId="77777777" w:rsidR="00E2008E" w:rsidRDefault="00E2008E">
            <w:pPr>
              <w:spacing w:after="60"/>
            </w:pPr>
          </w:p>
          <w:p w14:paraId="100E6E38" w14:textId="77777777" w:rsidR="00E2008E" w:rsidRDefault="009B29AE">
            <w:pPr>
              <w:spacing w:after="60"/>
            </w:pPr>
            <w:r>
              <w:rPr>
                <w:rFonts w:ascii="Arial" w:hAnsi="Arial"/>
                <w:b/>
                <w:sz w:val="20"/>
              </w:rPr>
              <w:t>Main Activity:</w:t>
            </w:r>
          </w:p>
          <w:p w14:paraId="14A707FA" w14:textId="77777777" w:rsidR="00E2008E" w:rsidRDefault="009B29AE">
            <w:pPr>
              <w:spacing w:after="60"/>
            </w:pPr>
            <w:r>
              <w:rPr>
                <w:rFonts w:ascii="Arial" w:hAnsi="Arial"/>
                <w:sz w:val="20"/>
              </w:rPr>
              <w:t>What should tenants expect?</w:t>
            </w:r>
          </w:p>
        </w:tc>
        <w:tc>
          <w:tcPr>
            <w:tcW w:w="12049" w:type="dxa"/>
          </w:tcPr>
          <w:p w14:paraId="66E9CD0C" w14:textId="77777777" w:rsidR="00E2008E" w:rsidRDefault="009B29AE">
            <w:pPr>
              <w:spacing w:after="60"/>
            </w:pPr>
            <w:r>
              <w:rPr>
                <w:rFonts w:ascii="Arial" w:hAnsi="Arial"/>
                <w:b/>
                <w:sz w:val="20"/>
              </w:rPr>
              <w:t>Communication and accountability</w:t>
            </w:r>
          </w:p>
          <w:p w14:paraId="326C2D49" w14:textId="77777777" w:rsidR="00E2008E" w:rsidRDefault="009B29AE">
            <w:pPr>
              <w:spacing w:after="60"/>
            </w:pPr>
            <w:r>
              <w:rPr>
                <w:rFonts w:ascii="Arial" w:hAnsi="Arial"/>
                <w:sz w:val="20"/>
              </w:rPr>
              <w:t>• Good communication helps people feel valued and listened to, provides reassurance and reduces uncertainty.</w:t>
            </w:r>
          </w:p>
          <w:p w14:paraId="7B1220E2" w14:textId="77777777" w:rsidR="00E2008E" w:rsidRDefault="009B29AE">
            <w:pPr>
              <w:spacing w:after="60"/>
            </w:pPr>
            <w:r>
              <w:rPr>
                <w:rFonts w:ascii="Arial" w:hAnsi="Arial"/>
                <w:sz w:val="20"/>
              </w:rPr>
              <w:t>• Tenants wanted ongoing updates, staff who investigate when something does not look right, and transparency when something cannot be done.</w:t>
            </w:r>
          </w:p>
          <w:p w14:paraId="0184765E" w14:textId="77777777" w:rsidR="00E2008E" w:rsidRDefault="009B29AE">
            <w:pPr>
              <w:spacing w:after="60"/>
            </w:pPr>
            <w:r>
              <w:rPr>
                <w:rFonts w:ascii="Arial" w:hAnsi="Arial"/>
                <w:b/>
                <w:sz w:val="20"/>
              </w:rPr>
              <w:t>Understanding performance</w:t>
            </w:r>
          </w:p>
          <w:p w14:paraId="51BD95CA" w14:textId="77777777" w:rsidR="00E2008E" w:rsidRDefault="009B29AE">
            <w:pPr>
              <w:spacing w:after="60"/>
            </w:pPr>
            <w:r>
              <w:rPr>
                <w:rFonts w:ascii="Arial" w:hAnsi="Arial"/>
                <w:sz w:val="20"/>
              </w:rPr>
              <w:t>• When shown the example “87% of responsive repairs were completed within target”, tenants wanted the number of repairs, what happened to the other 13%, timeframe, target, benchmark, trend and information about different tenant experiences.</w:t>
            </w:r>
          </w:p>
          <w:p w14:paraId="71285593" w14:textId="77777777" w:rsidR="00E2008E" w:rsidRDefault="009B29AE">
            <w:pPr>
              <w:spacing w:after="60"/>
            </w:pPr>
            <w:r>
              <w:rPr>
                <w:rFonts w:ascii="Arial" w:hAnsi="Arial"/>
                <w:sz w:val="20"/>
              </w:rPr>
              <w:t>• Headline figures alone were not considered enough to understand or scrutinise performance.</w:t>
            </w:r>
          </w:p>
          <w:p w14:paraId="3367E2FC" w14:textId="77777777" w:rsidR="00E2008E" w:rsidRDefault="009B29AE">
            <w:pPr>
              <w:spacing w:after="60"/>
            </w:pPr>
            <w:r>
              <w:rPr>
                <w:rFonts w:ascii="Arial" w:hAnsi="Arial"/>
                <w:b/>
                <w:sz w:val="20"/>
              </w:rPr>
              <w:t>Working together and improving engagement</w:t>
            </w:r>
          </w:p>
          <w:p w14:paraId="337BBDAE" w14:textId="77777777" w:rsidR="00E2008E" w:rsidRDefault="009B29AE">
            <w:pPr>
              <w:spacing w:after="60"/>
            </w:pPr>
            <w:r>
              <w:rPr>
                <w:rFonts w:ascii="Arial" w:hAnsi="Arial"/>
                <w:sz w:val="20"/>
              </w:rPr>
              <w:t>• Tenants wanted curiosity rather than defensiveness when concerns are raised and preferred co-production where appropriate when developing solutions.</w:t>
            </w:r>
          </w:p>
          <w:p w14:paraId="2D2897C6" w14:textId="77777777" w:rsidR="00E2008E" w:rsidRDefault="009B29AE">
            <w:pPr>
              <w:spacing w:after="60"/>
            </w:pPr>
            <w:r>
              <w:rPr>
                <w:rFonts w:ascii="Arial" w:hAnsi="Arial"/>
                <w:sz w:val="20"/>
              </w:rPr>
              <w:t>• Engagement should use different formats, including print where required, and should visibly show what happened after tenants took part.</w:t>
            </w:r>
          </w:p>
          <w:p w14:paraId="09535F6C" w14:textId="77777777" w:rsidR="00E2008E" w:rsidRDefault="009B29AE">
            <w:pPr>
              <w:spacing w:after="60"/>
            </w:pPr>
            <w:r>
              <w:rPr>
                <w:rFonts w:ascii="Arial" w:hAnsi="Arial"/>
                <w:sz w:val="20"/>
              </w:rPr>
              <w:t>• Ideas included open meetings or “impact days”, clearer promotion of engagement opportunities and automatic booking acknowledgements.</w:t>
            </w:r>
          </w:p>
          <w:p w14:paraId="5E807991" w14:textId="77777777" w:rsidR="00E2008E" w:rsidRDefault="009B29AE">
            <w:pPr>
              <w:spacing w:after="60"/>
            </w:pPr>
            <w:r>
              <w:rPr>
                <w:rFonts w:ascii="Arial" w:hAnsi="Arial"/>
                <w:b/>
                <w:sz w:val="20"/>
              </w:rPr>
              <w:t>Complaints</w:t>
            </w:r>
          </w:p>
          <w:p w14:paraId="01C48686" w14:textId="77777777" w:rsidR="00E2008E" w:rsidRDefault="009B29AE">
            <w:pPr>
              <w:spacing w:after="60"/>
            </w:pPr>
            <w:r>
              <w:rPr>
                <w:rFonts w:ascii="Arial" w:hAnsi="Arial"/>
                <w:sz w:val="20"/>
              </w:rPr>
              <w:t>• A suggestion was made to provide guidance on the length of complaints to create clearer boundaries and help staff deal with complaints efficiently.</w:t>
            </w:r>
          </w:p>
        </w:tc>
      </w:tr>
      <w:tr w:rsidR="00080132" w:rsidRPr="00997253" w14:paraId="0BA99C5B" w14:textId="77777777" w:rsidTr="00080132">
        <w:trPr>
          <w:trHeight w:val="1176"/>
        </w:trPr>
        <w:tc>
          <w:tcPr>
            <w:tcW w:w="1980" w:type="dxa"/>
          </w:tcPr>
          <w:p w14:paraId="45266DE4" w14:textId="77777777" w:rsidR="00E2008E" w:rsidRDefault="009B29AE">
            <w:pPr>
              <w:spacing w:after="60"/>
            </w:pPr>
            <w:r>
              <w:rPr>
                <w:rFonts w:ascii="Arial" w:hAnsi="Arial"/>
                <w:b/>
                <w:sz w:val="20"/>
              </w:rPr>
              <w:t>Service Improvement Suggestions</w:t>
            </w:r>
          </w:p>
        </w:tc>
        <w:tc>
          <w:tcPr>
            <w:tcW w:w="12049" w:type="dxa"/>
          </w:tcPr>
          <w:p w14:paraId="6E529A11" w14:textId="77777777" w:rsidR="00E2008E" w:rsidRDefault="009B29AE">
            <w:pPr>
              <w:spacing w:after="60"/>
            </w:pPr>
            <w:r>
              <w:rPr>
                <w:rFonts w:ascii="Arial" w:hAnsi="Arial"/>
                <w:sz w:val="20"/>
              </w:rPr>
              <w:t>• Ensure engagement information and opportunities are available in different formats, including printed information where required.</w:t>
            </w:r>
          </w:p>
          <w:p w14:paraId="71ED80FF" w14:textId="77777777" w:rsidR="00E2008E" w:rsidRDefault="009B29AE">
            <w:pPr>
              <w:spacing w:after="60"/>
            </w:pPr>
            <w:r>
              <w:rPr>
                <w:rFonts w:ascii="Arial" w:hAnsi="Arial"/>
                <w:sz w:val="20"/>
              </w:rPr>
              <w:t>• Use co-production with tenants where appropriate when investigating problems and developing solutions.</w:t>
            </w:r>
          </w:p>
          <w:p w14:paraId="3F7ABC89" w14:textId="77777777" w:rsidR="00E2008E" w:rsidRDefault="009B29AE">
            <w:pPr>
              <w:spacing w:after="60"/>
            </w:pPr>
            <w:r>
              <w:rPr>
                <w:rFonts w:ascii="Arial" w:hAnsi="Arial"/>
                <w:sz w:val="20"/>
              </w:rPr>
              <w:t>• Provide opportunities for open meetings or “impact days” where tenants can speak directly with contractors and service representatives.</w:t>
            </w:r>
          </w:p>
          <w:p w14:paraId="629F9E06" w14:textId="77777777" w:rsidR="00E2008E" w:rsidRDefault="009B29AE">
            <w:pPr>
              <w:spacing w:after="60"/>
            </w:pPr>
            <w:r>
              <w:rPr>
                <w:rFonts w:ascii="Arial" w:hAnsi="Arial"/>
                <w:sz w:val="20"/>
              </w:rPr>
              <w:t>• Make improvements arising from Housing Improvement Workshops more visible so tenants can see what was heard, what action followed and what changed.</w:t>
            </w:r>
          </w:p>
          <w:p w14:paraId="207E263F" w14:textId="77777777" w:rsidR="00E2008E" w:rsidRDefault="009B29AE">
            <w:pPr>
              <w:spacing w:after="60"/>
            </w:pPr>
            <w:r>
              <w:rPr>
                <w:rFonts w:ascii="Arial" w:hAnsi="Arial"/>
                <w:sz w:val="20"/>
              </w:rPr>
              <w:lastRenderedPageBreak/>
              <w:t>• Improve how Community Hubs, Digital Drop-Ins and Housing Improvement Workshops are promoted and explained so tenants understand their purpose and how they can use them.</w:t>
            </w:r>
          </w:p>
          <w:p w14:paraId="228DFF1A" w14:textId="77777777" w:rsidR="00E2008E" w:rsidRDefault="009B29AE">
            <w:pPr>
              <w:spacing w:after="60"/>
            </w:pPr>
            <w:r>
              <w:rPr>
                <w:rFonts w:ascii="Arial" w:hAnsi="Arial"/>
                <w:sz w:val="20"/>
              </w:rPr>
              <w:t>• Introduce an automatic acknowledgement when a tenant books onto an engagement activity so they know their booking has been received.</w:t>
            </w:r>
          </w:p>
          <w:p w14:paraId="3C805579" w14:textId="77777777" w:rsidR="00E2008E" w:rsidRDefault="009B29AE">
            <w:pPr>
              <w:spacing w:after="60"/>
            </w:pPr>
            <w:r>
              <w:rPr>
                <w:rFonts w:ascii="Arial" w:hAnsi="Arial"/>
                <w:sz w:val="20"/>
              </w:rPr>
              <w:t>• When reporting back on tenant suggestions, clearly explain what can and cannot be done and why.</w:t>
            </w:r>
          </w:p>
          <w:p w14:paraId="225BD24F" w14:textId="77777777" w:rsidR="00E2008E" w:rsidRDefault="009B29AE">
            <w:pPr>
              <w:spacing w:after="60"/>
            </w:pPr>
            <w:r>
              <w:rPr>
                <w:rFonts w:ascii="Arial" w:hAnsi="Arial"/>
                <w:sz w:val="20"/>
              </w:rPr>
              <w:t>• Work more closely with tenants when developing Housing performance reports so information provides enough context for tenants to understand and scrutinise performance.</w:t>
            </w:r>
          </w:p>
          <w:p w14:paraId="379FE1E3" w14:textId="77777777" w:rsidR="00E2008E" w:rsidRDefault="009B29AE">
            <w:pPr>
              <w:spacing w:after="60"/>
            </w:pPr>
            <w:r>
              <w:rPr>
                <w:rFonts w:ascii="Arial" w:hAnsi="Arial"/>
                <w:sz w:val="20"/>
              </w:rPr>
              <w:t>• Produce guidance to tenants on the number of words/pages complaints can include to create boundaries and assist Housing staff to deal with these efficiently.</w:t>
            </w:r>
          </w:p>
        </w:tc>
      </w:tr>
      <w:tr w:rsidR="00080132" w:rsidRPr="00997253" w14:paraId="694896F6" w14:textId="77777777" w:rsidTr="00080132">
        <w:tc>
          <w:tcPr>
            <w:tcW w:w="1980" w:type="dxa"/>
          </w:tcPr>
          <w:p w14:paraId="04E00F33" w14:textId="77777777" w:rsidR="00E2008E" w:rsidRDefault="009B29AE">
            <w:pPr>
              <w:spacing w:after="60"/>
            </w:pPr>
            <w:r>
              <w:rPr>
                <w:rFonts w:ascii="Arial" w:hAnsi="Arial"/>
                <w:b/>
                <w:sz w:val="20"/>
              </w:rPr>
              <w:lastRenderedPageBreak/>
              <w:t>What Happens Next</w:t>
            </w:r>
          </w:p>
        </w:tc>
        <w:tc>
          <w:tcPr>
            <w:tcW w:w="12049" w:type="dxa"/>
          </w:tcPr>
          <w:p w14:paraId="22B3DD96" w14:textId="77777777" w:rsidR="00E2008E" w:rsidRDefault="009B29AE">
            <w:pPr>
              <w:spacing w:after="60"/>
            </w:pPr>
            <w:r>
              <w:rPr>
                <w:rFonts w:ascii="Arial" w:hAnsi="Arial"/>
                <w:sz w:val="20"/>
              </w:rPr>
              <w:t>The Service Improvement Suggestions will be recorded on the HIW Service Improvement Tracker and shared with the relevant Housing teams for follow-up. Progress and outcomes will be reported back to tenants.</w:t>
            </w:r>
          </w:p>
        </w:tc>
      </w:tr>
    </w:tbl>
    <w:p w14:paraId="20D4428C" w14:textId="77777777" w:rsidR="00204193" w:rsidRPr="00997253" w:rsidRDefault="00204193" w:rsidP="00C21907">
      <w:pPr>
        <w:rPr>
          <w:rFonts w:ascii="Arial" w:hAnsi="Arial" w:cs="Arial"/>
        </w:rPr>
      </w:pPr>
    </w:p>
    <w:p w14:paraId="0A09ACE9" w14:textId="77777777" w:rsidR="001D65DB" w:rsidRPr="00997253" w:rsidRDefault="001D65DB" w:rsidP="00C21907">
      <w:pPr>
        <w:rPr>
          <w:rFonts w:ascii="Arial" w:hAnsi="Arial" w:cs="Arial"/>
        </w:rPr>
      </w:pPr>
    </w:p>
    <w:sectPr w:rsidR="001D65DB" w:rsidRPr="00997253" w:rsidSect="00C21907">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B713D" w14:textId="77777777" w:rsidR="009B29AE" w:rsidRDefault="009B29AE" w:rsidP="00CC71FB">
      <w:pPr>
        <w:spacing w:after="0" w:line="240" w:lineRule="auto"/>
      </w:pPr>
      <w:r>
        <w:separator/>
      </w:r>
    </w:p>
  </w:endnote>
  <w:endnote w:type="continuationSeparator" w:id="0">
    <w:p w14:paraId="74F28610" w14:textId="77777777" w:rsidR="009B29AE" w:rsidRDefault="009B29AE" w:rsidP="00CC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281D6" w14:textId="77777777" w:rsidR="009B29AE" w:rsidRDefault="009B29AE" w:rsidP="00CC71FB">
      <w:pPr>
        <w:spacing w:after="0" w:line="240" w:lineRule="auto"/>
      </w:pPr>
      <w:r>
        <w:separator/>
      </w:r>
    </w:p>
  </w:footnote>
  <w:footnote w:type="continuationSeparator" w:id="0">
    <w:p w14:paraId="0110894B" w14:textId="77777777" w:rsidR="009B29AE" w:rsidRDefault="009B29AE" w:rsidP="00CC7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2D7B" w14:textId="77777777" w:rsidR="00CC71FB" w:rsidRDefault="00C14D94">
    <w:pPr>
      <w:pStyle w:val="Header"/>
      <w:rPr>
        <w:b/>
        <w:bCs/>
        <w:sz w:val="26"/>
        <w:szCs w:val="26"/>
      </w:rPr>
    </w:pPr>
    <w:r>
      <w:rPr>
        <w:rFonts w:ascii="Arial" w:hAnsi="Arial"/>
        <w:b/>
        <w:sz w:val="20"/>
      </w:rPr>
      <w:t>Winchester City Council – Housing Improvement Workshops</w:t>
    </w:r>
  </w:p>
  <w:p w14:paraId="0070CA4A" w14:textId="77777777" w:rsidR="00EB4565" w:rsidRPr="0064764C" w:rsidRDefault="00EB4565">
    <w:pPr>
      <w:pStyle w:val="Header"/>
      <w:rPr>
        <w:b/>
        <w:bCs/>
        <w:sz w:val="26"/>
        <w:szCs w:val="26"/>
      </w:rPr>
    </w:pPr>
    <w:r>
      <w:rPr>
        <w:rFonts w:ascii="Arial" w:hAnsi="Arial"/>
        <w:b/>
        <w:sz w:val="20"/>
      </w:rPr>
      <w:t>Session Notes and Service Improvement Suggestions</w:t>
    </w:r>
  </w:p>
  <w:p w14:paraId="020D1D01" w14:textId="77777777" w:rsidR="005B1131" w:rsidRPr="00CD4A80" w:rsidRDefault="005B1131" w:rsidP="005B1131">
    <w:pPr>
      <w:pStyle w:val="Header"/>
    </w:pPr>
    <w:r>
      <w:rPr>
        <w:rFonts w:ascii="Arial" w:hAnsi="Arial"/>
        <w:sz w:val="20"/>
      </w:rPr>
      <w:t>Group: Transparency, Influence and Accountability</w:t>
    </w:r>
  </w:p>
  <w:p w14:paraId="4C1E519B" w14:textId="77777777" w:rsidR="005B1131" w:rsidRDefault="005B1131" w:rsidP="005B1131">
    <w:pPr>
      <w:pStyle w:val="Header"/>
    </w:pPr>
    <w:r>
      <w:rPr>
        <w:rFonts w:ascii="Arial" w:hAnsi="Arial"/>
        <w:sz w:val="20"/>
      </w:rPr>
      <w:t>Date: 19th September 2026</w:t>
    </w:r>
  </w:p>
  <w:p w14:paraId="422D8D06" w14:textId="77777777" w:rsidR="005B1131" w:rsidRDefault="005B1131" w:rsidP="005B1131">
    <w:pPr>
      <w:pStyle w:val="Header"/>
    </w:pPr>
    <w:r>
      <w:rPr>
        <w:rFonts w:ascii="Arial" w:hAnsi="Arial"/>
        <w:sz w:val="20"/>
      </w:rPr>
      <w:t>Location: Kings Worthy, (Tubbs Hall)</w:t>
    </w:r>
  </w:p>
  <w:p w14:paraId="6887E503" w14:textId="77777777" w:rsidR="00C14D94" w:rsidRDefault="00C14D94">
    <w:pPr>
      <w:pStyle w:val="Header"/>
    </w:pPr>
  </w:p>
  <w:p w14:paraId="40698905" w14:textId="77777777" w:rsidR="00C14D94" w:rsidRDefault="00C14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EB0"/>
    <w:multiLevelType w:val="hybridMultilevel"/>
    <w:tmpl w:val="5A86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4B1A14"/>
    <w:multiLevelType w:val="hybridMultilevel"/>
    <w:tmpl w:val="B97AFDD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AA350B"/>
    <w:multiLevelType w:val="hybridMultilevel"/>
    <w:tmpl w:val="6256E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809D6"/>
    <w:multiLevelType w:val="hybridMultilevel"/>
    <w:tmpl w:val="73A60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E92126"/>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D04891"/>
    <w:multiLevelType w:val="hybridMultilevel"/>
    <w:tmpl w:val="27A07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655CF"/>
    <w:multiLevelType w:val="hybridMultilevel"/>
    <w:tmpl w:val="807EE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D22894"/>
    <w:multiLevelType w:val="hybridMultilevel"/>
    <w:tmpl w:val="D4F088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4D1996"/>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D7518D"/>
    <w:multiLevelType w:val="hybridMultilevel"/>
    <w:tmpl w:val="90A48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EF636A"/>
    <w:multiLevelType w:val="hybridMultilevel"/>
    <w:tmpl w:val="F420F8FE"/>
    <w:lvl w:ilvl="0" w:tplc="08090001">
      <w:start w:val="1"/>
      <w:numFmt w:val="bullet"/>
      <w:lvlText w:val=""/>
      <w:lvlJc w:val="left"/>
      <w:pPr>
        <w:ind w:left="1607" w:hanging="360"/>
      </w:pPr>
      <w:rPr>
        <w:rFonts w:ascii="Symbol" w:hAnsi="Symbol" w:hint="default"/>
      </w:rPr>
    </w:lvl>
    <w:lvl w:ilvl="1" w:tplc="08090003" w:tentative="1">
      <w:start w:val="1"/>
      <w:numFmt w:val="bullet"/>
      <w:lvlText w:val="o"/>
      <w:lvlJc w:val="left"/>
      <w:pPr>
        <w:ind w:left="2327" w:hanging="360"/>
      </w:pPr>
      <w:rPr>
        <w:rFonts w:ascii="Courier New" w:hAnsi="Courier New" w:cs="Courier New" w:hint="default"/>
      </w:rPr>
    </w:lvl>
    <w:lvl w:ilvl="2" w:tplc="08090005" w:tentative="1">
      <w:start w:val="1"/>
      <w:numFmt w:val="bullet"/>
      <w:lvlText w:val=""/>
      <w:lvlJc w:val="left"/>
      <w:pPr>
        <w:ind w:left="3047" w:hanging="360"/>
      </w:pPr>
      <w:rPr>
        <w:rFonts w:ascii="Wingdings" w:hAnsi="Wingdings" w:hint="default"/>
      </w:rPr>
    </w:lvl>
    <w:lvl w:ilvl="3" w:tplc="08090001" w:tentative="1">
      <w:start w:val="1"/>
      <w:numFmt w:val="bullet"/>
      <w:lvlText w:val=""/>
      <w:lvlJc w:val="left"/>
      <w:pPr>
        <w:ind w:left="3767" w:hanging="360"/>
      </w:pPr>
      <w:rPr>
        <w:rFonts w:ascii="Symbol" w:hAnsi="Symbol" w:hint="default"/>
      </w:rPr>
    </w:lvl>
    <w:lvl w:ilvl="4" w:tplc="08090003" w:tentative="1">
      <w:start w:val="1"/>
      <w:numFmt w:val="bullet"/>
      <w:lvlText w:val="o"/>
      <w:lvlJc w:val="left"/>
      <w:pPr>
        <w:ind w:left="4487" w:hanging="360"/>
      </w:pPr>
      <w:rPr>
        <w:rFonts w:ascii="Courier New" w:hAnsi="Courier New" w:cs="Courier New" w:hint="default"/>
      </w:rPr>
    </w:lvl>
    <w:lvl w:ilvl="5" w:tplc="08090005" w:tentative="1">
      <w:start w:val="1"/>
      <w:numFmt w:val="bullet"/>
      <w:lvlText w:val=""/>
      <w:lvlJc w:val="left"/>
      <w:pPr>
        <w:ind w:left="5207" w:hanging="360"/>
      </w:pPr>
      <w:rPr>
        <w:rFonts w:ascii="Wingdings" w:hAnsi="Wingdings" w:hint="default"/>
      </w:rPr>
    </w:lvl>
    <w:lvl w:ilvl="6" w:tplc="08090001" w:tentative="1">
      <w:start w:val="1"/>
      <w:numFmt w:val="bullet"/>
      <w:lvlText w:val=""/>
      <w:lvlJc w:val="left"/>
      <w:pPr>
        <w:ind w:left="5927" w:hanging="360"/>
      </w:pPr>
      <w:rPr>
        <w:rFonts w:ascii="Symbol" w:hAnsi="Symbol" w:hint="default"/>
      </w:rPr>
    </w:lvl>
    <w:lvl w:ilvl="7" w:tplc="08090003" w:tentative="1">
      <w:start w:val="1"/>
      <w:numFmt w:val="bullet"/>
      <w:lvlText w:val="o"/>
      <w:lvlJc w:val="left"/>
      <w:pPr>
        <w:ind w:left="6647" w:hanging="360"/>
      </w:pPr>
      <w:rPr>
        <w:rFonts w:ascii="Courier New" w:hAnsi="Courier New" w:cs="Courier New" w:hint="default"/>
      </w:rPr>
    </w:lvl>
    <w:lvl w:ilvl="8" w:tplc="08090005" w:tentative="1">
      <w:start w:val="1"/>
      <w:numFmt w:val="bullet"/>
      <w:lvlText w:val=""/>
      <w:lvlJc w:val="left"/>
      <w:pPr>
        <w:ind w:left="7367" w:hanging="360"/>
      </w:pPr>
      <w:rPr>
        <w:rFonts w:ascii="Wingdings" w:hAnsi="Wingdings" w:hint="default"/>
      </w:rPr>
    </w:lvl>
  </w:abstractNum>
  <w:abstractNum w:abstractNumId="11" w15:restartNumberingAfterBreak="0">
    <w:nsid w:val="2FA16F32"/>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91399A"/>
    <w:multiLevelType w:val="hybridMultilevel"/>
    <w:tmpl w:val="C144D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441A92"/>
    <w:multiLevelType w:val="hybridMultilevel"/>
    <w:tmpl w:val="34EE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EB02DA"/>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6E3521"/>
    <w:multiLevelType w:val="hybridMultilevel"/>
    <w:tmpl w:val="BD307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A5CF3"/>
    <w:multiLevelType w:val="hybridMultilevel"/>
    <w:tmpl w:val="B5C83D8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B38551C"/>
    <w:multiLevelType w:val="hybridMultilevel"/>
    <w:tmpl w:val="AE80F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892F8E"/>
    <w:multiLevelType w:val="hybridMultilevel"/>
    <w:tmpl w:val="21E4A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E32827"/>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B57CD3"/>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4D2FE4"/>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C75469"/>
    <w:multiLevelType w:val="hybridMultilevel"/>
    <w:tmpl w:val="FFEEF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086251"/>
    <w:multiLevelType w:val="multilevel"/>
    <w:tmpl w:val="833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1C5695"/>
    <w:multiLevelType w:val="hybridMultilevel"/>
    <w:tmpl w:val="A0624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8E4395"/>
    <w:multiLevelType w:val="hybridMultilevel"/>
    <w:tmpl w:val="00867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95108D"/>
    <w:multiLevelType w:val="hybridMultilevel"/>
    <w:tmpl w:val="014E4706"/>
    <w:lvl w:ilvl="0" w:tplc="08090001">
      <w:start w:val="1"/>
      <w:numFmt w:val="bullet"/>
      <w:lvlText w:val=""/>
      <w:lvlJc w:val="left"/>
      <w:pPr>
        <w:ind w:left="1465" w:hanging="360"/>
      </w:pPr>
      <w:rPr>
        <w:rFonts w:ascii="Symbol" w:hAnsi="Symbol" w:hint="default"/>
      </w:rPr>
    </w:lvl>
    <w:lvl w:ilvl="1" w:tplc="08090003" w:tentative="1">
      <w:start w:val="1"/>
      <w:numFmt w:val="bullet"/>
      <w:lvlText w:val="o"/>
      <w:lvlJc w:val="left"/>
      <w:pPr>
        <w:ind w:left="2185" w:hanging="360"/>
      </w:pPr>
      <w:rPr>
        <w:rFonts w:ascii="Courier New" w:hAnsi="Courier New" w:cs="Courier New" w:hint="default"/>
      </w:rPr>
    </w:lvl>
    <w:lvl w:ilvl="2" w:tplc="08090005" w:tentative="1">
      <w:start w:val="1"/>
      <w:numFmt w:val="bullet"/>
      <w:lvlText w:val=""/>
      <w:lvlJc w:val="left"/>
      <w:pPr>
        <w:ind w:left="2905" w:hanging="360"/>
      </w:pPr>
      <w:rPr>
        <w:rFonts w:ascii="Wingdings" w:hAnsi="Wingdings" w:hint="default"/>
      </w:rPr>
    </w:lvl>
    <w:lvl w:ilvl="3" w:tplc="08090001" w:tentative="1">
      <w:start w:val="1"/>
      <w:numFmt w:val="bullet"/>
      <w:lvlText w:val=""/>
      <w:lvlJc w:val="left"/>
      <w:pPr>
        <w:ind w:left="3625" w:hanging="360"/>
      </w:pPr>
      <w:rPr>
        <w:rFonts w:ascii="Symbol" w:hAnsi="Symbol" w:hint="default"/>
      </w:rPr>
    </w:lvl>
    <w:lvl w:ilvl="4" w:tplc="08090003" w:tentative="1">
      <w:start w:val="1"/>
      <w:numFmt w:val="bullet"/>
      <w:lvlText w:val="o"/>
      <w:lvlJc w:val="left"/>
      <w:pPr>
        <w:ind w:left="4345" w:hanging="360"/>
      </w:pPr>
      <w:rPr>
        <w:rFonts w:ascii="Courier New" w:hAnsi="Courier New" w:cs="Courier New" w:hint="default"/>
      </w:rPr>
    </w:lvl>
    <w:lvl w:ilvl="5" w:tplc="08090005" w:tentative="1">
      <w:start w:val="1"/>
      <w:numFmt w:val="bullet"/>
      <w:lvlText w:val=""/>
      <w:lvlJc w:val="left"/>
      <w:pPr>
        <w:ind w:left="5065" w:hanging="360"/>
      </w:pPr>
      <w:rPr>
        <w:rFonts w:ascii="Wingdings" w:hAnsi="Wingdings" w:hint="default"/>
      </w:rPr>
    </w:lvl>
    <w:lvl w:ilvl="6" w:tplc="08090001" w:tentative="1">
      <w:start w:val="1"/>
      <w:numFmt w:val="bullet"/>
      <w:lvlText w:val=""/>
      <w:lvlJc w:val="left"/>
      <w:pPr>
        <w:ind w:left="5785" w:hanging="360"/>
      </w:pPr>
      <w:rPr>
        <w:rFonts w:ascii="Symbol" w:hAnsi="Symbol" w:hint="default"/>
      </w:rPr>
    </w:lvl>
    <w:lvl w:ilvl="7" w:tplc="08090003" w:tentative="1">
      <w:start w:val="1"/>
      <w:numFmt w:val="bullet"/>
      <w:lvlText w:val="o"/>
      <w:lvlJc w:val="left"/>
      <w:pPr>
        <w:ind w:left="6505" w:hanging="360"/>
      </w:pPr>
      <w:rPr>
        <w:rFonts w:ascii="Courier New" w:hAnsi="Courier New" w:cs="Courier New" w:hint="default"/>
      </w:rPr>
    </w:lvl>
    <w:lvl w:ilvl="8" w:tplc="08090005" w:tentative="1">
      <w:start w:val="1"/>
      <w:numFmt w:val="bullet"/>
      <w:lvlText w:val=""/>
      <w:lvlJc w:val="left"/>
      <w:pPr>
        <w:ind w:left="7225" w:hanging="360"/>
      </w:pPr>
      <w:rPr>
        <w:rFonts w:ascii="Wingdings" w:hAnsi="Wingdings" w:hint="default"/>
      </w:rPr>
    </w:lvl>
  </w:abstractNum>
  <w:abstractNum w:abstractNumId="27" w15:restartNumberingAfterBreak="0">
    <w:nsid w:val="66296DB8"/>
    <w:multiLevelType w:val="hybridMultilevel"/>
    <w:tmpl w:val="E7A408BC"/>
    <w:lvl w:ilvl="0" w:tplc="F3023BC0">
      <w:start w:val="2"/>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0C20499"/>
    <w:multiLevelType w:val="hybridMultilevel"/>
    <w:tmpl w:val="FCA6EF9E"/>
    <w:lvl w:ilvl="0" w:tplc="F3023BC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D803CA"/>
    <w:multiLevelType w:val="hybridMultilevel"/>
    <w:tmpl w:val="0AD85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806577"/>
    <w:multiLevelType w:val="multilevel"/>
    <w:tmpl w:val="99E4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4859925">
    <w:abstractNumId w:val="29"/>
  </w:num>
  <w:num w:numId="2" w16cid:durableId="1686635168">
    <w:abstractNumId w:val="30"/>
  </w:num>
  <w:num w:numId="3" w16cid:durableId="1137576063">
    <w:abstractNumId w:val="8"/>
  </w:num>
  <w:num w:numId="4" w16cid:durableId="179901871">
    <w:abstractNumId w:val="30"/>
  </w:num>
  <w:num w:numId="5" w16cid:durableId="453210210">
    <w:abstractNumId w:val="11"/>
  </w:num>
  <w:num w:numId="6" w16cid:durableId="1984851973">
    <w:abstractNumId w:val="20"/>
  </w:num>
  <w:num w:numId="7" w16cid:durableId="755633845">
    <w:abstractNumId w:val="19"/>
  </w:num>
  <w:num w:numId="8" w16cid:durableId="1699425785">
    <w:abstractNumId w:val="23"/>
  </w:num>
  <w:num w:numId="9" w16cid:durableId="2039818540">
    <w:abstractNumId w:val="21"/>
  </w:num>
  <w:num w:numId="10" w16cid:durableId="520629348">
    <w:abstractNumId w:val="4"/>
  </w:num>
  <w:num w:numId="11" w16cid:durableId="231358659">
    <w:abstractNumId w:val="14"/>
  </w:num>
  <w:num w:numId="12" w16cid:durableId="1730108316">
    <w:abstractNumId w:val="7"/>
  </w:num>
  <w:num w:numId="13" w16cid:durableId="258370498">
    <w:abstractNumId w:val="13"/>
  </w:num>
  <w:num w:numId="14" w16cid:durableId="45564699">
    <w:abstractNumId w:val="2"/>
  </w:num>
  <w:num w:numId="15" w16cid:durableId="1919289901">
    <w:abstractNumId w:val="6"/>
  </w:num>
  <w:num w:numId="16" w16cid:durableId="1265772715">
    <w:abstractNumId w:val="24"/>
  </w:num>
  <w:num w:numId="17" w16cid:durableId="807624535">
    <w:abstractNumId w:val="22"/>
  </w:num>
  <w:num w:numId="18" w16cid:durableId="464272339">
    <w:abstractNumId w:val="16"/>
  </w:num>
  <w:num w:numId="19" w16cid:durableId="692271082">
    <w:abstractNumId w:val="18"/>
  </w:num>
  <w:num w:numId="20" w16cid:durableId="904487197">
    <w:abstractNumId w:val="1"/>
  </w:num>
  <w:num w:numId="21" w16cid:durableId="327296985">
    <w:abstractNumId w:val="26"/>
  </w:num>
  <w:num w:numId="22" w16cid:durableId="1540245686">
    <w:abstractNumId w:val="10"/>
  </w:num>
  <w:num w:numId="23" w16cid:durableId="514657840">
    <w:abstractNumId w:val="28"/>
  </w:num>
  <w:num w:numId="24" w16cid:durableId="8721499">
    <w:abstractNumId w:val="5"/>
  </w:num>
  <w:num w:numId="25" w16cid:durableId="2136946406">
    <w:abstractNumId w:val="25"/>
  </w:num>
  <w:num w:numId="26" w16cid:durableId="1764835403">
    <w:abstractNumId w:val="17"/>
  </w:num>
  <w:num w:numId="27" w16cid:durableId="1091007855">
    <w:abstractNumId w:val="27"/>
  </w:num>
  <w:num w:numId="28" w16cid:durableId="143008424">
    <w:abstractNumId w:val="9"/>
  </w:num>
  <w:num w:numId="29" w16cid:durableId="702483119">
    <w:abstractNumId w:val="0"/>
  </w:num>
  <w:num w:numId="30" w16cid:durableId="1283001171">
    <w:abstractNumId w:val="3"/>
  </w:num>
  <w:num w:numId="31" w16cid:durableId="960650057">
    <w:abstractNumId w:val="15"/>
  </w:num>
  <w:num w:numId="32" w16cid:durableId="2113087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07"/>
    <w:rsid w:val="000023C0"/>
    <w:rsid w:val="00004F0C"/>
    <w:rsid w:val="00005072"/>
    <w:rsid w:val="000329D9"/>
    <w:rsid w:val="00033C57"/>
    <w:rsid w:val="00033F41"/>
    <w:rsid w:val="00046959"/>
    <w:rsid w:val="0006106B"/>
    <w:rsid w:val="00076F49"/>
    <w:rsid w:val="00080132"/>
    <w:rsid w:val="00091CB7"/>
    <w:rsid w:val="00093229"/>
    <w:rsid w:val="000C2456"/>
    <w:rsid w:val="000C46FF"/>
    <w:rsid w:val="000C6288"/>
    <w:rsid w:val="000D6570"/>
    <w:rsid w:val="000E4C03"/>
    <w:rsid w:val="00146376"/>
    <w:rsid w:val="001501CC"/>
    <w:rsid w:val="00151961"/>
    <w:rsid w:val="00154F7C"/>
    <w:rsid w:val="00165317"/>
    <w:rsid w:val="001657A3"/>
    <w:rsid w:val="00174203"/>
    <w:rsid w:val="00193683"/>
    <w:rsid w:val="001A5AF8"/>
    <w:rsid w:val="001A722E"/>
    <w:rsid w:val="001B1C48"/>
    <w:rsid w:val="001B2C14"/>
    <w:rsid w:val="001C2CF8"/>
    <w:rsid w:val="001D14E5"/>
    <w:rsid w:val="001D44B4"/>
    <w:rsid w:val="001D4C60"/>
    <w:rsid w:val="001D4E61"/>
    <w:rsid w:val="001D58AD"/>
    <w:rsid w:val="001D65DB"/>
    <w:rsid w:val="001F6FD3"/>
    <w:rsid w:val="001F76D7"/>
    <w:rsid w:val="00204193"/>
    <w:rsid w:val="00244709"/>
    <w:rsid w:val="00263A9D"/>
    <w:rsid w:val="002B55D8"/>
    <w:rsid w:val="002B6104"/>
    <w:rsid w:val="002C1A83"/>
    <w:rsid w:val="002C7A17"/>
    <w:rsid w:val="002D4404"/>
    <w:rsid w:val="002E4392"/>
    <w:rsid w:val="002F25EC"/>
    <w:rsid w:val="002F71CC"/>
    <w:rsid w:val="0033110B"/>
    <w:rsid w:val="003457E0"/>
    <w:rsid w:val="00353070"/>
    <w:rsid w:val="003716C8"/>
    <w:rsid w:val="00393065"/>
    <w:rsid w:val="003B2E7C"/>
    <w:rsid w:val="003B3790"/>
    <w:rsid w:val="003B55B2"/>
    <w:rsid w:val="003C6CD0"/>
    <w:rsid w:val="003D3230"/>
    <w:rsid w:val="003F3923"/>
    <w:rsid w:val="004279CC"/>
    <w:rsid w:val="00442612"/>
    <w:rsid w:val="0045331E"/>
    <w:rsid w:val="00466BFE"/>
    <w:rsid w:val="004814E4"/>
    <w:rsid w:val="00493DFA"/>
    <w:rsid w:val="00494B16"/>
    <w:rsid w:val="004B24BA"/>
    <w:rsid w:val="004B76B0"/>
    <w:rsid w:val="004D70EF"/>
    <w:rsid w:val="004E3E93"/>
    <w:rsid w:val="004E4A80"/>
    <w:rsid w:val="004E578C"/>
    <w:rsid w:val="005104AE"/>
    <w:rsid w:val="00581EC9"/>
    <w:rsid w:val="0059079C"/>
    <w:rsid w:val="005B1131"/>
    <w:rsid w:val="005E02E8"/>
    <w:rsid w:val="005E0833"/>
    <w:rsid w:val="005E177B"/>
    <w:rsid w:val="006209DB"/>
    <w:rsid w:val="006253C2"/>
    <w:rsid w:val="00631F2C"/>
    <w:rsid w:val="0064558D"/>
    <w:rsid w:val="0064764C"/>
    <w:rsid w:val="00655A9B"/>
    <w:rsid w:val="00663DE6"/>
    <w:rsid w:val="00670870"/>
    <w:rsid w:val="0067594A"/>
    <w:rsid w:val="0068431D"/>
    <w:rsid w:val="006927C2"/>
    <w:rsid w:val="00694DB3"/>
    <w:rsid w:val="006A51D7"/>
    <w:rsid w:val="006D05A5"/>
    <w:rsid w:val="006E37DF"/>
    <w:rsid w:val="006F2517"/>
    <w:rsid w:val="0070012C"/>
    <w:rsid w:val="00715105"/>
    <w:rsid w:val="00720C8F"/>
    <w:rsid w:val="0075037C"/>
    <w:rsid w:val="00752D58"/>
    <w:rsid w:val="007611F7"/>
    <w:rsid w:val="0078165D"/>
    <w:rsid w:val="0078295B"/>
    <w:rsid w:val="00785F83"/>
    <w:rsid w:val="007A0917"/>
    <w:rsid w:val="007A15CD"/>
    <w:rsid w:val="007B0A98"/>
    <w:rsid w:val="007C3360"/>
    <w:rsid w:val="007D23E6"/>
    <w:rsid w:val="007D74D8"/>
    <w:rsid w:val="007E2BCC"/>
    <w:rsid w:val="007F5ED1"/>
    <w:rsid w:val="008109D5"/>
    <w:rsid w:val="00811F2C"/>
    <w:rsid w:val="0081635A"/>
    <w:rsid w:val="008421F2"/>
    <w:rsid w:val="00855B02"/>
    <w:rsid w:val="00862426"/>
    <w:rsid w:val="008652ED"/>
    <w:rsid w:val="008823AF"/>
    <w:rsid w:val="008827C7"/>
    <w:rsid w:val="00892EF7"/>
    <w:rsid w:val="008A79B4"/>
    <w:rsid w:val="008B1A15"/>
    <w:rsid w:val="008B293A"/>
    <w:rsid w:val="008F65BA"/>
    <w:rsid w:val="0090063A"/>
    <w:rsid w:val="0090451C"/>
    <w:rsid w:val="0091799B"/>
    <w:rsid w:val="0092603D"/>
    <w:rsid w:val="0093449E"/>
    <w:rsid w:val="00967483"/>
    <w:rsid w:val="00997253"/>
    <w:rsid w:val="009B29AE"/>
    <w:rsid w:val="009C7D1F"/>
    <w:rsid w:val="009D09FB"/>
    <w:rsid w:val="009D2DD1"/>
    <w:rsid w:val="009D4401"/>
    <w:rsid w:val="009E0EE6"/>
    <w:rsid w:val="009E2F3E"/>
    <w:rsid w:val="009F5A36"/>
    <w:rsid w:val="00A030E4"/>
    <w:rsid w:val="00A103F2"/>
    <w:rsid w:val="00A1727E"/>
    <w:rsid w:val="00A34638"/>
    <w:rsid w:val="00A36218"/>
    <w:rsid w:val="00A4629A"/>
    <w:rsid w:val="00A74BFC"/>
    <w:rsid w:val="00A92198"/>
    <w:rsid w:val="00A92972"/>
    <w:rsid w:val="00AC0336"/>
    <w:rsid w:val="00AC2BDC"/>
    <w:rsid w:val="00AC6084"/>
    <w:rsid w:val="00AE0264"/>
    <w:rsid w:val="00B1142C"/>
    <w:rsid w:val="00B226B6"/>
    <w:rsid w:val="00B4192D"/>
    <w:rsid w:val="00B52147"/>
    <w:rsid w:val="00B705A6"/>
    <w:rsid w:val="00B826B1"/>
    <w:rsid w:val="00B84ECB"/>
    <w:rsid w:val="00BA59C7"/>
    <w:rsid w:val="00C03D30"/>
    <w:rsid w:val="00C14D94"/>
    <w:rsid w:val="00C21907"/>
    <w:rsid w:val="00C4127B"/>
    <w:rsid w:val="00C55653"/>
    <w:rsid w:val="00C71C12"/>
    <w:rsid w:val="00C85A19"/>
    <w:rsid w:val="00CC71FB"/>
    <w:rsid w:val="00D1596E"/>
    <w:rsid w:val="00D57A36"/>
    <w:rsid w:val="00D66531"/>
    <w:rsid w:val="00DB6036"/>
    <w:rsid w:val="00DD15BF"/>
    <w:rsid w:val="00DE5A94"/>
    <w:rsid w:val="00DE6CA6"/>
    <w:rsid w:val="00E148B1"/>
    <w:rsid w:val="00E17478"/>
    <w:rsid w:val="00E2008E"/>
    <w:rsid w:val="00E25DBF"/>
    <w:rsid w:val="00E41D87"/>
    <w:rsid w:val="00E5765C"/>
    <w:rsid w:val="00E9025F"/>
    <w:rsid w:val="00EA2DF1"/>
    <w:rsid w:val="00EA7BEB"/>
    <w:rsid w:val="00EB4565"/>
    <w:rsid w:val="00EC6B4A"/>
    <w:rsid w:val="00ED1870"/>
    <w:rsid w:val="00ED7EB9"/>
    <w:rsid w:val="00EE1EA2"/>
    <w:rsid w:val="00F27E5B"/>
    <w:rsid w:val="00F412A2"/>
    <w:rsid w:val="00F4200F"/>
    <w:rsid w:val="00F6292A"/>
    <w:rsid w:val="00F65277"/>
    <w:rsid w:val="00F7131A"/>
    <w:rsid w:val="00FB21CB"/>
    <w:rsid w:val="00FC0446"/>
    <w:rsid w:val="00FE41BF"/>
    <w:rsid w:val="00FE51EE"/>
    <w:rsid w:val="00FE7607"/>
    <w:rsid w:val="00FF5530"/>
    <w:rsid w:val="00FF6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6CB59"/>
  <w15:chartTrackingRefBased/>
  <w15:docId w15:val="{9FF368AE-0189-441A-8151-72436AFE3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07"/>
    <w:rPr>
      <w:rFonts w:eastAsiaTheme="majorEastAsia" w:cstheme="majorBidi"/>
      <w:color w:val="272727" w:themeColor="text1" w:themeTint="D8"/>
    </w:rPr>
  </w:style>
  <w:style w:type="paragraph" w:styleId="Title">
    <w:name w:val="Title"/>
    <w:basedOn w:val="Normal"/>
    <w:next w:val="Normal"/>
    <w:link w:val="TitleChar"/>
    <w:uiPriority w:val="10"/>
    <w:qFormat/>
    <w:rsid w:val="00C21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07"/>
    <w:pPr>
      <w:spacing w:before="160"/>
      <w:jc w:val="center"/>
    </w:pPr>
    <w:rPr>
      <w:i/>
      <w:iCs/>
      <w:color w:val="404040" w:themeColor="text1" w:themeTint="BF"/>
    </w:rPr>
  </w:style>
  <w:style w:type="character" w:customStyle="1" w:styleId="QuoteChar">
    <w:name w:val="Quote Char"/>
    <w:basedOn w:val="DefaultParagraphFont"/>
    <w:link w:val="Quote"/>
    <w:uiPriority w:val="29"/>
    <w:rsid w:val="00C21907"/>
    <w:rPr>
      <w:i/>
      <w:iCs/>
      <w:color w:val="404040" w:themeColor="text1" w:themeTint="BF"/>
    </w:rPr>
  </w:style>
  <w:style w:type="paragraph" w:styleId="ListParagraph">
    <w:name w:val="List Paragraph"/>
    <w:basedOn w:val="Normal"/>
    <w:uiPriority w:val="34"/>
    <w:qFormat/>
    <w:rsid w:val="00C21907"/>
    <w:pPr>
      <w:ind w:left="720"/>
      <w:contextualSpacing/>
    </w:pPr>
  </w:style>
  <w:style w:type="character" w:styleId="IntenseEmphasis">
    <w:name w:val="Intense Emphasis"/>
    <w:basedOn w:val="DefaultParagraphFont"/>
    <w:uiPriority w:val="21"/>
    <w:qFormat/>
    <w:rsid w:val="00C21907"/>
    <w:rPr>
      <w:i/>
      <w:iCs/>
      <w:color w:val="0F4761" w:themeColor="accent1" w:themeShade="BF"/>
    </w:rPr>
  </w:style>
  <w:style w:type="paragraph" w:styleId="IntenseQuote">
    <w:name w:val="Intense Quote"/>
    <w:basedOn w:val="Normal"/>
    <w:next w:val="Normal"/>
    <w:link w:val="IntenseQuoteChar"/>
    <w:uiPriority w:val="30"/>
    <w:qFormat/>
    <w:rsid w:val="00C21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907"/>
    <w:rPr>
      <w:i/>
      <w:iCs/>
      <w:color w:val="0F4761" w:themeColor="accent1" w:themeShade="BF"/>
    </w:rPr>
  </w:style>
  <w:style w:type="character" w:styleId="IntenseReference">
    <w:name w:val="Intense Reference"/>
    <w:basedOn w:val="DefaultParagraphFont"/>
    <w:uiPriority w:val="32"/>
    <w:qFormat/>
    <w:rsid w:val="00C21907"/>
    <w:rPr>
      <w:b/>
      <w:bCs/>
      <w:smallCaps/>
      <w:color w:val="0F4761" w:themeColor="accent1" w:themeShade="BF"/>
      <w:spacing w:val="5"/>
    </w:rPr>
  </w:style>
  <w:style w:type="table" w:styleId="TableGrid">
    <w:name w:val="Table Grid"/>
    <w:basedOn w:val="TableNormal"/>
    <w:uiPriority w:val="39"/>
    <w:rsid w:val="00C21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1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1FB"/>
  </w:style>
  <w:style w:type="paragraph" w:styleId="Footer">
    <w:name w:val="footer"/>
    <w:basedOn w:val="Normal"/>
    <w:link w:val="FooterChar"/>
    <w:uiPriority w:val="99"/>
    <w:unhideWhenUsed/>
    <w:rsid w:val="00CC71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1FB"/>
  </w:style>
  <w:style w:type="paragraph" w:styleId="NormalWeb">
    <w:name w:val="Normal (Web)"/>
    <w:basedOn w:val="Normal"/>
    <w:uiPriority w:val="99"/>
    <w:semiHidden/>
    <w:unhideWhenUsed/>
    <w:rsid w:val="000D657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3D3230"/>
    <w:rPr>
      <w:sz w:val="16"/>
      <w:szCs w:val="16"/>
    </w:rPr>
  </w:style>
  <w:style w:type="paragraph" w:styleId="CommentText">
    <w:name w:val="annotation text"/>
    <w:basedOn w:val="Normal"/>
    <w:link w:val="CommentTextChar"/>
    <w:uiPriority w:val="99"/>
    <w:unhideWhenUsed/>
    <w:rsid w:val="003D3230"/>
    <w:pPr>
      <w:spacing w:line="240" w:lineRule="auto"/>
    </w:pPr>
    <w:rPr>
      <w:sz w:val="20"/>
      <w:szCs w:val="20"/>
    </w:rPr>
  </w:style>
  <w:style w:type="character" w:customStyle="1" w:styleId="CommentTextChar">
    <w:name w:val="Comment Text Char"/>
    <w:basedOn w:val="DefaultParagraphFont"/>
    <w:link w:val="CommentText"/>
    <w:uiPriority w:val="99"/>
    <w:rsid w:val="003D3230"/>
    <w:rPr>
      <w:sz w:val="20"/>
      <w:szCs w:val="20"/>
    </w:rPr>
  </w:style>
  <w:style w:type="paragraph" w:styleId="CommentSubject">
    <w:name w:val="annotation subject"/>
    <w:basedOn w:val="CommentText"/>
    <w:next w:val="CommentText"/>
    <w:link w:val="CommentSubjectChar"/>
    <w:uiPriority w:val="99"/>
    <w:semiHidden/>
    <w:unhideWhenUsed/>
    <w:rsid w:val="003D3230"/>
    <w:rPr>
      <w:b/>
      <w:bCs/>
    </w:rPr>
  </w:style>
  <w:style w:type="character" w:customStyle="1" w:styleId="CommentSubjectChar">
    <w:name w:val="Comment Subject Char"/>
    <w:basedOn w:val="CommentTextChar"/>
    <w:link w:val="CommentSubject"/>
    <w:uiPriority w:val="99"/>
    <w:semiHidden/>
    <w:rsid w:val="003D32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31832">
      <w:bodyDiv w:val="1"/>
      <w:marLeft w:val="0"/>
      <w:marRight w:val="0"/>
      <w:marTop w:val="0"/>
      <w:marBottom w:val="0"/>
      <w:divBdr>
        <w:top w:val="none" w:sz="0" w:space="0" w:color="auto"/>
        <w:left w:val="none" w:sz="0" w:space="0" w:color="auto"/>
        <w:bottom w:val="none" w:sz="0" w:space="0" w:color="auto"/>
        <w:right w:val="none" w:sz="0" w:space="0" w:color="auto"/>
      </w:divBdr>
    </w:div>
    <w:div w:id="367999400">
      <w:bodyDiv w:val="1"/>
      <w:marLeft w:val="0"/>
      <w:marRight w:val="0"/>
      <w:marTop w:val="0"/>
      <w:marBottom w:val="0"/>
      <w:divBdr>
        <w:top w:val="none" w:sz="0" w:space="0" w:color="auto"/>
        <w:left w:val="none" w:sz="0" w:space="0" w:color="auto"/>
        <w:bottom w:val="none" w:sz="0" w:space="0" w:color="auto"/>
        <w:right w:val="none" w:sz="0" w:space="0" w:color="auto"/>
      </w:divBdr>
    </w:div>
    <w:div w:id="396243751">
      <w:bodyDiv w:val="1"/>
      <w:marLeft w:val="0"/>
      <w:marRight w:val="0"/>
      <w:marTop w:val="0"/>
      <w:marBottom w:val="0"/>
      <w:divBdr>
        <w:top w:val="none" w:sz="0" w:space="0" w:color="auto"/>
        <w:left w:val="none" w:sz="0" w:space="0" w:color="auto"/>
        <w:bottom w:val="none" w:sz="0" w:space="0" w:color="auto"/>
        <w:right w:val="none" w:sz="0" w:space="0" w:color="auto"/>
      </w:divBdr>
    </w:div>
    <w:div w:id="530414186">
      <w:bodyDiv w:val="1"/>
      <w:marLeft w:val="0"/>
      <w:marRight w:val="0"/>
      <w:marTop w:val="0"/>
      <w:marBottom w:val="0"/>
      <w:divBdr>
        <w:top w:val="none" w:sz="0" w:space="0" w:color="auto"/>
        <w:left w:val="none" w:sz="0" w:space="0" w:color="auto"/>
        <w:bottom w:val="none" w:sz="0" w:space="0" w:color="auto"/>
        <w:right w:val="none" w:sz="0" w:space="0" w:color="auto"/>
      </w:divBdr>
    </w:div>
    <w:div w:id="709573721">
      <w:bodyDiv w:val="1"/>
      <w:marLeft w:val="0"/>
      <w:marRight w:val="0"/>
      <w:marTop w:val="0"/>
      <w:marBottom w:val="0"/>
      <w:divBdr>
        <w:top w:val="none" w:sz="0" w:space="0" w:color="auto"/>
        <w:left w:val="none" w:sz="0" w:space="0" w:color="auto"/>
        <w:bottom w:val="none" w:sz="0" w:space="0" w:color="auto"/>
        <w:right w:val="none" w:sz="0" w:space="0" w:color="auto"/>
      </w:divBdr>
    </w:div>
    <w:div w:id="163093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cf2f40-19a3-4793-ae75-87feb91570d0">
      <Terms xmlns="http://schemas.microsoft.com/office/infopath/2007/PartnerControls"/>
    </lcf76f155ced4ddcb4097134ff3c332f>
    <ExpiryDate xmlns="4fcf2f40-19a3-4793-ae75-87feb91570d0" xsi:nil="true"/>
    <Purpose xmlns="4fcf2f40-19a3-4793-ae75-87feb91570d0">Summarises tenant feedback, discussion and suggested improvements from the TIA Housing Improvement Workshop, providing TACT with the tenant perspective and resulting service improvement suggestions.</Purpose>
    <TaxCatchAll xmlns="2991b466-a2ed-4f28-a320-2141610c30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CBB52055FEE548B96A3F58CABBDDD5" ma:contentTypeVersion="16" ma:contentTypeDescription="Create a new document." ma:contentTypeScope="" ma:versionID="48893cd47d3c256794c106a9ac021287">
  <xsd:schema xmlns:xsd="http://www.w3.org/2001/XMLSchema" xmlns:xs="http://www.w3.org/2001/XMLSchema" xmlns:p="http://schemas.microsoft.com/office/2006/metadata/properties" xmlns:ns2="4fcf2f40-19a3-4793-ae75-87feb91570d0" xmlns:ns3="2991b466-a2ed-4f28-a320-2141610c3070" targetNamespace="http://schemas.microsoft.com/office/2006/metadata/properties" ma:root="true" ma:fieldsID="6e9abeb9ba50808e426eed9e8197ebb8" ns2:_="" ns3:_="">
    <xsd:import namespace="4fcf2f40-19a3-4793-ae75-87feb91570d0"/>
    <xsd:import namespace="2991b466-a2ed-4f28-a320-2141610c3070"/>
    <xsd:element name="properties">
      <xsd:complexType>
        <xsd:sequence>
          <xsd:element name="documentManagement">
            <xsd:complexType>
              <xsd:all>
                <xsd:element ref="ns2:Purpos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Expiry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f2f40-19a3-4793-ae75-87feb91570d0" elementFormDefault="qualified">
    <xsd:import namespace="http://schemas.microsoft.com/office/2006/documentManagement/types"/>
    <xsd:import namespace="http://schemas.microsoft.com/office/infopath/2007/PartnerControls"/>
    <xsd:element name="Purpose" ma:index="8" nillable="true" ma:displayName="Purpose" ma:format="Dropdown" ma:internalName="Purpo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91d1dc-9ca2-4e12-9884-08edc5a3dfa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ExpiryDate" ma:index="22" nillable="true" ma:displayName="Expiry Date" ma:format="DateOnly" ma:internalName="ExpiryDate">
      <xsd:simpleType>
        <xsd:restriction base="dms:DateTim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91b466-a2ed-4f28-a320-2141610c307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2cfbbe9-0a32-4721-9a26-3bf9c6947938}" ma:internalName="TaxCatchAll" ma:showField="CatchAllData" ma:web="2991b466-a2ed-4f28-a320-2141610c30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945645-062D-4883-9604-193DA7387869}">
  <ds:schemaRefs>
    <ds:schemaRef ds:uri="http://schemas.microsoft.com/office/2006/metadata/properties"/>
    <ds:schemaRef ds:uri="http://schemas.microsoft.com/office/infopath/2007/PartnerControls"/>
    <ds:schemaRef ds:uri="4fcf2f40-19a3-4793-ae75-87feb91570d0"/>
    <ds:schemaRef ds:uri="2991b466-a2ed-4f28-a320-2141610c3070"/>
  </ds:schemaRefs>
</ds:datastoreItem>
</file>

<file path=customXml/itemProps2.xml><?xml version="1.0" encoding="utf-8"?>
<ds:datastoreItem xmlns:ds="http://schemas.openxmlformats.org/officeDocument/2006/customXml" ds:itemID="{7208A560-0AED-4DCE-AEC6-19B1199EE871}">
  <ds:schemaRefs>
    <ds:schemaRef ds:uri="http://schemas.microsoft.com/sharepoint/v3/contenttype/forms"/>
  </ds:schemaRefs>
</ds:datastoreItem>
</file>

<file path=customXml/itemProps3.xml><?xml version="1.0" encoding="utf-8"?>
<ds:datastoreItem xmlns:ds="http://schemas.openxmlformats.org/officeDocument/2006/customXml" ds:itemID="{29E28D65-F4C6-43F4-9339-D729F5718AEF}">
  <ds:schemaRefs>
    <ds:schemaRef ds:uri="http://schemas.openxmlformats.org/officeDocument/2006/bibliography"/>
  </ds:schemaRefs>
</ds:datastoreItem>
</file>

<file path=customXml/itemProps4.xml><?xml version="1.0" encoding="utf-8"?>
<ds:datastoreItem xmlns:ds="http://schemas.openxmlformats.org/officeDocument/2006/customXml" ds:itemID="{7E92CC09-BB6E-4229-9FB2-5A687017D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f2f40-19a3-4793-ae75-87feb91570d0"/>
    <ds:schemaRef ds:uri="2991b466-a2ed-4f28-a320-2141610c3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3c3fb2-a351-4b60-b6e8-989865135af2}" enabled="1" method="Standard" siteId="{b451c354-21e6-4992-b2f4-df6d690b1ad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2922</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Bailey</dc:creator>
  <cp:keywords/>
  <dc:description/>
  <cp:lastModifiedBy>Stella Thurston</cp:lastModifiedBy>
  <cp:revision>2</cp:revision>
  <cp:lastPrinted>2025-03-25T09:26:00Z</cp:lastPrinted>
  <dcterms:created xsi:type="dcterms:W3CDTF">2026-11-05T13:56:00Z</dcterms:created>
  <dcterms:modified xsi:type="dcterms:W3CDTF">2026-11-05T13:56:00Z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3c3fb2-a351-4b60-b6e8-989865135af2_Enabled">
    <vt:lpwstr>true</vt:lpwstr>
  </property>
  <property fmtid="{D5CDD505-2E9C-101B-9397-08002B2CF9AE}" pid="3" name="MSIP_Label_003c3fb2-a351-4b60-b6e8-989865135af2_SetDate">
    <vt:lpwstr>2025-06-16T10:06:47Z</vt:lpwstr>
  </property>
  <property fmtid="{D5CDD505-2E9C-101B-9397-08002B2CF9AE}" pid="4" name="MSIP_Label_003c3fb2-a351-4b60-b6e8-989865135af2_Method">
    <vt:lpwstr>Standard</vt:lpwstr>
  </property>
  <property fmtid="{D5CDD505-2E9C-101B-9397-08002B2CF9AE}" pid="5" name="MSIP_Label_003c3fb2-a351-4b60-b6e8-989865135af2_Name">
    <vt:lpwstr>Open</vt:lpwstr>
  </property>
  <property fmtid="{D5CDD505-2E9C-101B-9397-08002B2CF9AE}" pid="6" name="MSIP_Label_003c3fb2-a351-4b60-b6e8-989865135af2_SiteId">
    <vt:lpwstr>b451c354-21e6-4992-b2f4-df6d690b1adf</vt:lpwstr>
  </property>
  <property fmtid="{D5CDD505-2E9C-101B-9397-08002B2CF9AE}" pid="7" name="MSIP_Label_003c3fb2-a351-4b60-b6e8-989865135af2_ActionId">
    <vt:lpwstr>b3e6b172-ebba-4028-a5f4-f5a6075d3b9d</vt:lpwstr>
  </property>
  <property fmtid="{D5CDD505-2E9C-101B-9397-08002B2CF9AE}" pid="8" name="MSIP_Label_003c3fb2-a351-4b60-b6e8-989865135af2_ContentBits">
    <vt:lpwstr>0</vt:lpwstr>
  </property>
  <property fmtid="{D5CDD505-2E9C-101B-9397-08002B2CF9AE}" pid="9" name="MSIP_Label_003c3fb2-a351-4b60-b6e8-989865135af2_Tag">
    <vt:lpwstr>10, 3, 0, 1</vt:lpwstr>
  </property>
  <property fmtid="{D5CDD505-2E9C-101B-9397-08002B2CF9AE}" pid="10" name="ContentTypeId">
    <vt:lpwstr>0x010100BDCBB52055FEE548B96A3F58CABBDDD5</vt:lpwstr>
  </property>
  <property fmtid="{D5CDD505-2E9C-101B-9397-08002B2CF9AE}" pid="11" name="MediaServiceImageTags">
    <vt:lpwstr/>
  </property>
  <property fmtid="{D5CDD505-2E9C-101B-9397-08002B2CF9AE}" pid="12" name="docLang">
    <vt:lpwstr>en</vt:lpwstr>
  </property>
</Properties>
</file>