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3CB56" w14:textId="51AECB51" w:rsidR="00340B58" w:rsidRPr="00340B58" w:rsidRDefault="00340B58" w:rsidP="00277B6F">
      <w:pPr>
        <w:pStyle w:val="Heading1"/>
        <w:jc w:val="center"/>
        <w:rPr>
          <w:rFonts w:ascii="Arial" w:hAnsi="Arial" w:cs="Arial"/>
          <w:color w:val="auto"/>
          <w:u w:val="single"/>
        </w:rPr>
      </w:pPr>
      <w:r w:rsidRPr="00340B58">
        <w:rPr>
          <w:rFonts w:ascii="Arial" w:hAnsi="Arial" w:cs="Arial"/>
          <w:color w:val="auto"/>
          <w:u w:val="single"/>
        </w:rPr>
        <w:t>Housing Improvement Workshop Notes</w:t>
      </w:r>
    </w:p>
    <w:p w14:paraId="74297035" w14:textId="578D30EF" w:rsidR="00277B6F" w:rsidRPr="00277B6F" w:rsidRDefault="00E635A0" w:rsidP="00277B6F">
      <w:pPr>
        <w:pStyle w:val="Heading1"/>
        <w:rPr>
          <w:rFonts w:ascii="Arial" w:hAnsi="Arial" w:cs="Arial"/>
          <w:color w:val="auto"/>
        </w:rPr>
      </w:pPr>
      <w:r w:rsidRPr="00E635A0">
        <w:rPr>
          <w:rFonts w:ascii="Arial" w:hAnsi="Arial" w:cs="Arial"/>
          <w:color w:val="auto"/>
        </w:rPr>
        <w:t>Tenancy</w:t>
      </w:r>
    </w:p>
    <w:p w14:paraId="55B4D7DD" w14:textId="069EACB9" w:rsidR="00C03CB5" w:rsidRPr="00340B58" w:rsidRDefault="00E635A0">
      <w:pPr>
        <w:rPr>
          <w:rFonts w:ascii="Arial" w:hAnsi="Arial" w:cs="Arial"/>
          <w:b/>
          <w:bCs/>
          <w:sz w:val="28"/>
          <w:szCs w:val="28"/>
        </w:rPr>
      </w:pPr>
      <w:r w:rsidRPr="00E635A0">
        <w:rPr>
          <w:rFonts w:ascii="Arial" w:hAnsi="Arial" w:cs="Arial"/>
          <w:b/>
          <w:bCs/>
          <w:sz w:val="28"/>
          <w:szCs w:val="28"/>
        </w:rPr>
        <w:t>21</w:t>
      </w:r>
      <w:r w:rsidRPr="00E635A0">
        <w:rPr>
          <w:rFonts w:ascii="Arial" w:hAnsi="Arial" w:cs="Arial"/>
          <w:b/>
          <w:bCs/>
          <w:sz w:val="28"/>
          <w:szCs w:val="28"/>
          <w:vertAlign w:val="superscript"/>
        </w:rPr>
        <w:t>st</w:t>
      </w:r>
      <w:r w:rsidRPr="00E635A0">
        <w:rPr>
          <w:rFonts w:ascii="Arial" w:hAnsi="Arial" w:cs="Arial"/>
          <w:b/>
          <w:bCs/>
          <w:sz w:val="28"/>
          <w:szCs w:val="28"/>
        </w:rPr>
        <w:t xml:space="preserve"> June</w:t>
      </w:r>
      <w:r w:rsidR="00340B58">
        <w:rPr>
          <w:rFonts w:ascii="Arial" w:hAnsi="Arial" w:cs="Arial"/>
          <w:b/>
          <w:bCs/>
          <w:sz w:val="28"/>
          <w:szCs w:val="28"/>
        </w:rPr>
        <w:t xml:space="preserve">, </w:t>
      </w:r>
      <w:r w:rsidR="00AB14F8">
        <w:rPr>
          <w:rFonts w:ascii="Arial" w:hAnsi="Arial" w:cs="Arial"/>
          <w:b/>
          <w:bCs/>
          <w:sz w:val="28"/>
          <w:szCs w:val="28"/>
        </w:rPr>
        <w:t>Kingsworthy</w:t>
      </w:r>
    </w:p>
    <w:p w14:paraId="15CA111B" w14:textId="77777777" w:rsidR="00C03CB5" w:rsidRPr="00340B58" w:rsidRDefault="00AD1208">
      <w:pPr>
        <w:rPr>
          <w:rFonts w:ascii="Arial" w:hAnsi="Arial" w:cs="Arial"/>
          <w:b/>
          <w:bCs/>
          <w:color w:val="0070C0"/>
          <w:sz w:val="24"/>
          <w:szCs w:val="24"/>
        </w:rPr>
      </w:pPr>
      <w:r w:rsidRPr="00340B58">
        <w:rPr>
          <w:rFonts w:ascii="Arial" w:hAnsi="Arial" w:cs="Arial"/>
          <w:b/>
          <w:bCs/>
          <w:color w:val="0070C0"/>
          <w:sz w:val="24"/>
          <w:szCs w:val="24"/>
        </w:rPr>
        <w:t>Deep-Dive Topic: Signing Up to a New Home: Making the Process Simple, Clear and Accessible</w:t>
      </w:r>
    </w:p>
    <w:p w14:paraId="650F05F3" w14:textId="77777777" w:rsidR="00C03CB5" w:rsidRPr="00E635A0" w:rsidRDefault="00AD1208">
      <w:pPr>
        <w:pStyle w:val="Heading2"/>
        <w:rPr>
          <w:rFonts w:ascii="Arial" w:hAnsi="Arial" w:cs="Arial"/>
          <w:color w:val="auto"/>
        </w:rPr>
      </w:pPr>
      <w:r w:rsidRPr="00E635A0">
        <w:rPr>
          <w:rFonts w:ascii="Arial" w:hAnsi="Arial" w:cs="Arial"/>
          <w:color w:val="auto"/>
        </w:rPr>
        <w:t>Workshop Purpose</w:t>
      </w:r>
    </w:p>
    <w:p w14:paraId="0C6425C1" w14:textId="77777777" w:rsidR="00C03CB5" w:rsidRPr="00E635A0" w:rsidRDefault="00AD1208">
      <w:pPr>
        <w:rPr>
          <w:rFonts w:ascii="Arial" w:hAnsi="Arial" w:cs="Arial"/>
        </w:rPr>
      </w:pPr>
      <w:r w:rsidRPr="00E635A0">
        <w:rPr>
          <w:rFonts w:ascii="Arial" w:hAnsi="Arial" w:cs="Arial"/>
        </w:rPr>
        <w:t>This workshop explored how Winchester City Council can make the journey from being offered a property to moving into a new home simpler, clearer and more accessible. Residents were invited to review each stage of the sign-up process, identify potential barriers and suggest improvements to better support new tenants.</w:t>
      </w:r>
    </w:p>
    <w:p w14:paraId="790914DB" w14:textId="77777777" w:rsidR="00C03CB5" w:rsidRPr="00E635A0" w:rsidRDefault="00AD1208">
      <w:pPr>
        <w:pStyle w:val="Heading2"/>
        <w:rPr>
          <w:rFonts w:ascii="Arial" w:hAnsi="Arial" w:cs="Arial"/>
          <w:color w:val="auto"/>
        </w:rPr>
      </w:pPr>
      <w:r w:rsidRPr="00E635A0">
        <w:rPr>
          <w:rFonts w:ascii="Arial" w:hAnsi="Arial" w:cs="Arial"/>
          <w:color w:val="auto"/>
        </w:rPr>
        <w:t>Service Update</w:t>
      </w:r>
    </w:p>
    <w:p w14:paraId="6C721B27" w14:textId="1721664A" w:rsidR="00C03CB5" w:rsidRPr="00E635A0" w:rsidRDefault="00AD1208">
      <w:pPr>
        <w:rPr>
          <w:rFonts w:ascii="Arial" w:hAnsi="Arial" w:cs="Arial"/>
        </w:rPr>
      </w:pPr>
      <w:r w:rsidRPr="00E635A0">
        <w:rPr>
          <w:rFonts w:ascii="Arial" w:hAnsi="Arial" w:cs="Arial"/>
        </w:rPr>
        <w:t>Gareth Darke</w:t>
      </w:r>
      <w:r w:rsidR="00515855">
        <w:rPr>
          <w:rFonts w:ascii="Arial" w:hAnsi="Arial" w:cs="Arial"/>
        </w:rPr>
        <w:t xml:space="preserve"> &amp; Carolyn Blythe</w:t>
      </w:r>
      <w:r w:rsidRPr="00E635A0">
        <w:rPr>
          <w:rFonts w:ascii="Arial" w:hAnsi="Arial" w:cs="Arial"/>
        </w:rPr>
        <w:t xml:space="preserve"> provided an update on recent changes within the Housing Landlord Service, including the introduction of Area Housing Managers, additional Housing Officers and proposed improvements to the tenancy sign-up process. The update also highlighted the service's ambition to improve visibility within neighbourhoods, strengthen relationships with tenants and review key tenancy documents and processes.</w:t>
      </w:r>
    </w:p>
    <w:p w14:paraId="7088A246" w14:textId="77777777" w:rsidR="00C03CB5" w:rsidRPr="00E635A0" w:rsidRDefault="00AD1208">
      <w:pPr>
        <w:pStyle w:val="Heading2"/>
        <w:rPr>
          <w:rFonts w:ascii="Arial" w:hAnsi="Arial" w:cs="Arial"/>
          <w:color w:val="auto"/>
        </w:rPr>
      </w:pPr>
      <w:r w:rsidRPr="00E635A0">
        <w:rPr>
          <w:rFonts w:ascii="Arial" w:hAnsi="Arial" w:cs="Arial"/>
          <w:color w:val="auto"/>
        </w:rPr>
        <w:t>Workshop Discussion</w:t>
      </w:r>
    </w:p>
    <w:p w14:paraId="44C6420D" w14:textId="77777777" w:rsidR="00C03CB5" w:rsidRPr="00E635A0" w:rsidRDefault="00AD1208">
      <w:pPr>
        <w:rPr>
          <w:rFonts w:ascii="Arial" w:hAnsi="Arial" w:cs="Arial"/>
        </w:rPr>
      </w:pPr>
      <w:r w:rsidRPr="00E635A0">
        <w:rPr>
          <w:rFonts w:ascii="Arial" w:hAnsi="Arial" w:cs="Arial"/>
        </w:rPr>
        <w:t>The workshop began with a one-word check-in asking participants what is most important when moving into a new home. Responses included good neighbours, safety, communication, flexibility, quality and clear information, highlighting that the experience of moving into a home is about much more than the property itself.</w:t>
      </w:r>
      <w:r w:rsidRPr="00E635A0">
        <w:rPr>
          <w:rFonts w:ascii="Arial" w:hAnsi="Arial" w:cs="Arial"/>
        </w:rPr>
        <w:br/>
      </w:r>
      <w:r w:rsidRPr="00E635A0">
        <w:rPr>
          <w:rFonts w:ascii="Arial" w:hAnsi="Arial" w:cs="Arial"/>
        </w:rPr>
        <w:br/>
      </w:r>
      <w:r w:rsidRPr="00E635A0">
        <w:rPr>
          <w:rFonts w:ascii="Arial" w:hAnsi="Arial" w:cs="Arial"/>
        </w:rPr>
        <w:t>Using a customer journey exercise, residents reviewed every stage of the tenancy process, from application through to the new tenant visit. Participants agreed that the process should be tenant-centred, with clear communication, realistic expectations and appropriate support provided at every stage.</w:t>
      </w:r>
      <w:r w:rsidRPr="00E635A0">
        <w:rPr>
          <w:rFonts w:ascii="Arial" w:hAnsi="Arial" w:cs="Arial"/>
        </w:rPr>
        <w:br/>
      </w:r>
      <w:r w:rsidRPr="00E635A0">
        <w:rPr>
          <w:rFonts w:ascii="Arial" w:hAnsi="Arial" w:cs="Arial"/>
        </w:rPr>
        <w:br/>
      </w:r>
      <w:r w:rsidRPr="00E635A0">
        <w:rPr>
          <w:rFonts w:ascii="Arial" w:hAnsi="Arial" w:cs="Arial"/>
        </w:rPr>
        <w:t>Communication emerged as the strongest theme throughout the workshop. Residents felt prospective tenants should receive a clearer explanation of the overall process, including timescales, allocation bands, responsibilities and what will happen next at each stage. They also discussed the importance of reassuring applicants once they have accepted a property, so they understand the status of their offer and what to expect before moving in.</w:t>
      </w:r>
      <w:r w:rsidRPr="00E635A0">
        <w:rPr>
          <w:rFonts w:ascii="Arial" w:hAnsi="Arial" w:cs="Arial"/>
        </w:rPr>
        <w:br/>
      </w:r>
      <w:r w:rsidRPr="00E635A0">
        <w:rPr>
          <w:rFonts w:ascii="Arial" w:hAnsi="Arial" w:cs="Arial"/>
        </w:rPr>
        <w:br/>
      </w:r>
      <w:r w:rsidRPr="00E635A0">
        <w:rPr>
          <w:rFonts w:ascii="Arial" w:hAnsi="Arial" w:cs="Arial"/>
        </w:rPr>
        <w:t xml:space="preserve">The discussion also explored how the Council can better understand individual needs before a tenancy begins. Residents highlighted the importance of considering health, </w:t>
      </w:r>
      <w:r w:rsidRPr="00E635A0">
        <w:rPr>
          <w:rFonts w:ascii="Arial" w:hAnsi="Arial" w:cs="Arial"/>
        </w:rPr>
        <w:lastRenderedPageBreak/>
        <w:t>mobility, affordability and support requirements throughout the assessment process, ensuring appropriate referrals and adjustments were made where required. Participants also supported greater flexibility by offering different options for tenancy sign-up, including at the Council offices, at the property or digitally.</w:t>
      </w:r>
      <w:r w:rsidRPr="00E635A0">
        <w:rPr>
          <w:rFonts w:ascii="Arial" w:hAnsi="Arial" w:cs="Arial"/>
        </w:rPr>
        <w:br/>
      </w:r>
      <w:r w:rsidRPr="00E635A0">
        <w:rPr>
          <w:rFonts w:ascii="Arial" w:hAnsi="Arial" w:cs="Arial"/>
        </w:rPr>
        <w:br/>
      </w:r>
      <w:r w:rsidRPr="00E635A0">
        <w:rPr>
          <w:rFonts w:ascii="Arial" w:hAnsi="Arial" w:cs="Arial"/>
        </w:rPr>
        <w:t>Finally, residents discussed the importance of ongoing support after moving in. They felt new tenants should understand when Housing Officers will visit, what support is available and how the Council will continue working with them to help sustain their tenancy.</w:t>
      </w:r>
    </w:p>
    <w:p w14:paraId="04E0D8D9" w14:textId="77777777" w:rsidR="00C03CB5" w:rsidRPr="00E635A0" w:rsidRDefault="00AD1208">
      <w:pPr>
        <w:pStyle w:val="Heading2"/>
        <w:rPr>
          <w:rFonts w:ascii="Arial" w:hAnsi="Arial" w:cs="Arial"/>
          <w:color w:val="auto"/>
        </w:rPr>
      </w:pPr>
      <w:r w:rsidRPr="00E635A0">
        <w:rPr>
          <w:rFonts w:ascii="Arial" w:hAnsi="Arial" w:cs="Arial"/>
          <w:color w:val="auto"/>
        </w:rPr>
        <w:t>Service Improvement Suggestions</w:t>
      </w:r>
    </w:p>
    <w:p w14:paraId="40EBB46E" w14:textId="77777777" w:rsidR="00C03CB5" w:rsidRPr="00E635A0" w:rsidRDefault="00AD1208">
      <w:pPr>
        <w:pStyle w:val="ListBullet"/>
        <w:rPr>
          <w:rFonts w:ascii="Arial" w:hAnsi="Arial" w:cs="Arial"/>
        </w:rPr>
      </w:pPr>
      <w:r w:rsidRPr="00E635A0">
        <w:rPr>
          <w:rFonts w:ascii="Arial" w:hAnsi="Arial" w:cs="Arial"/>
        </w:rPr>
        <w:t>Implement pre-tenancy inspection for residents moving in, providing a snagging opportunity and listing any planned works.</w:t>
      </w:r>
    </w:p>
    <w:p w14:paraId="2D75B142" w14:textId="77777777" w:rsidR="00C03CB5" w:rsidRPr="00E635A0" w:rsidRDefault="00AD1208">
      <w:pPr>
        <w:pStyle w:val="ListBullet"/>
        <w:rPr>
          <w:rFonts w:ascii="Arial" w:hAnsi="Arial" w:cs="Arial"/>
        </w:rPr>
      </w:pPr>
      <w:r w:rsidRPr="00E635A0">
        <w:rPr>
          <w:rFonts w:ascii="Arial" w:hAnsi="Arial" w:cs="Arial"/>
        </w:rPr>
        <w:t>Offer sign-up options (Council office, property or digital).</w:t>
      </w:r>
    </w:p>
    <w:p w14:paraId="171E0DE4" w14:textId="77777777" w:rsidR="00C03CB5" w:rsidRPr="00E635A0" w:rsidRDefault="00AD1208">
      <w:pPr>
        <w:pStyle w:val="ListBullet"/>
        <w:rPr>
          <w:rFonts w:ascii="Arial" w:hAnsi="Arial" w:cs="Arial"/>
        </w:rPr>
      </w:pPr>
      <w:r w:rsidRPr="00E635A0">
        <w:rPr>
          <w:rFonts w:ascii="Arial" w:hAnsi="Arial" w:cs="Arial"/>
        </w:rPr>
        <w:t>Look into providing card machines for sign-ups completed at the property.</w:t>
      </w:r>
    </w:p>
    <w:p w14:paraId="7707A04B" w14:textId="77777777" w:rsidR="00C03CB5" w:rsidRPr="00E635A0" w:rsidRDefault="00AD1208">
      <w:pPr>
        <w:pStyle w:val="ListBullet"/>
        <w:rPr>
          <w:rFonts w:ascii="Arial" w:hAnsi="Arial" w:cs="Arial"/>
        </w:rPr>
      </w:pPr>
      <w:r w:rsidRPr="00E635A0">
        <w:rPr>
          <w:rFonts w:ascii="Arial" w:hAnsi="Arial" w:cs="Arial"/>
        </w:rPr>
        <w:t>Provide reassurance following the property viewing, including clear confirmation of the offer status.</w:t>
      </w:r>
    </w:p>
    <w:p w14:paraId="7A9D4D7C" w14:textId="77777777" w:rsidR="00C03CB5" w:rsidRPr="00E635A0" w:rsidRDefault="00AD1208">
      <w:pPr>
        <w:pStyle w:val="ListBullet"/>
        <w:rPr>
          <w:rFonts w:ascii="Arial" w:hAnsi="Arial" w:cs="Arial"/>
        </w:rPr>
      </w:pPr>
      <w:r w:rsidRPr="00E635A0">
        <w:rPr>
          <w:rFonts w:ascii="Arial" w:hAnsi="Arial" w:cs="Arial"/>
        </w:rPr>
        <w:t>Standardise communication at key touchpoints, including what happens next and expected timescales.</w:t>
      </w:r>
    </w:p>
    <w:p w14:paraId="7FB29224" w14:textId="77777777" w:rsidR="00C03CB5" w:rsidRPr="00E635A0" w:rsidRDefault="00AD1208">
      <w:pPr>
        <w:pStyle w:val="ListBullet"/>
        <w:rPr>
          <w:rFonts w:ascii="Arial" w:hAnsi="Arial" w:cs="Arial"/>
        </w:rPr>
      </w:pPr>
      <w:r w:rsidRPr="00E635A0">
        <w:rPr>
          <w:rFonts w:ascii="Arial" w:hAnsi="Arial" w:cs="Arial"/>
        </w:rPr>
        <w:t>Communicate a clear visit schedule and expectations for new tenants.</w:t>
      </w:r>
    </w:p>
    <w:sectPr w:rsidR="00C03CB5" w:rsidRPr="00E635A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C6A6482"/>
    <w:lvl w:ilvl="0">
      <w:start w:val="1"/>
      <w:numFmt w:val="bullet"/>
      <w:pStyle w:val="ListBullet"/>
      <w:lvlText w:val=""/>
      <w:lvlJc w:val="left"/>
      <w:pPr>
        <w:tabs>
          <w:tab w:val="num" w:pos="360"/>
        </w:tabs>
        <w:ind w:left="360" w:hanging="360"/>
      </w:pPr>
      <w:rPr>
        <w:rFonts w:ascii="Symbol" w:hAnsi="Symbol" w:hint="default"/>
      </w:rPr>
    </w:lvl>
  </w:abstractNum>
  <w:num w:numId="1" w16cid:durableId="764763549">
    <w:abstractNumId w:val="8"/>
  </w:num>
  <w:num w:numId="2" w16cid:durableId="1479765838">
    <w:abstractNumId w:val="6"/>
  </w:num>
  <w:num w:numId="3" w16cid:durableId="1355964176">
    <w:abstractNumId w:val="5"/>
  </w:num>
  <w:num w:numId="4" w16cid:durableId="2116973153">
    <w:abstractNumId w:val="4"/>
  </w:num>
  <w:num w:numId="5" w16cid:durableId="203714618">
    <w:abstractNumId w:val="7"/>
  </w:num>
  <w:num w:numId="6" w16cid:durableId="1636065990">
    <w:abstractNumId w:val="3"/>
  </w:num>
  <w:num w:numId="7" w16cid:durableId="2094544645">
    <w:abstractNumId w:val="2"/>
  </w:num>
  <w:num w:numId="8" w16cid:durableId="1145200475">
    <w:abstractNumId w:val="1"/>
  </w:num>
  <w:num w:numId="9" w16cid:durableId="17951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C03"/>
    <w:rsid w:val="00034616"/>
    <w:rsid w:val="0006063C"/>
    <w:rsid w:val="0015074B"/>
    <w:rsid w:val="001D749B"/>
    <w:rsid w:val="00277B6F"/>
    <w:rsid w:val="0029639D"/>
    <w:rsid w:val="00326F90"/>
    <w:rsid w:val="00340B58"/>
    <w:rsid w:val="00366C21"/>
    <w:rsid w:val="00515855"/>
    <w:rsid w:val="00875A9A"/>
    <w:rsid w:val="009A292C"/>
    <w:rsid w:val="00A675F1"/>
    <w:rsid w:val="00AA1D8D"/>
    <w:rsid w:val="00AB14F8"/>
    <w:rsid w:val="00B47730"/>
    <w:rsid w:val="00BE59B4"/>
    <w:rsid w:val="00C03CB5"/>
    <w:rsid w:val="00C2276B"/>
    <w:rsid w:val="00CB0664"/>
    <w:rsid w:val="00E0460B"/>
    <w:rsid w:val="00E635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94B5BA"/>
  <w14:defaultImageDpi w14:val="300"/>
  <w15:docId w15:val="{10C2128D-7596-4F92-B226-C65A600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003c3fb2-a351-4b60-b6e8-989865135af2}" enabled="1" method="Standard" siteId="{b451c354-21e6-4992-b2f4-df6d690b1ad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Stella Thurston</cp:lastModifiedBy>
  <cp:revision>2</cp:revision>
  <dcterms:created xsi:type="dcterms:W3CDTF">2026-07-30T08:28:00Z</dcterms:created>
  <dcterms:modified xsi:type="dcterms:W3CDTF">2026-07-30T08:28:00Z</dcterms:modified>
  <cp:category/>
</cp:coreProperties>
</file>