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4F00" w14:textId="77777777" w:rsidR="005345A8" w:rsidRPr="00AA24B4" w:rsidRDefault="00DA6A44" w:rsidP="005345A8">
      <w:pPr>
        <w:rPr>
          <w:rFonts w:ascii="Arial" w:hAnsi="Arial" w:cs="Arial"/>
          <w:b/>
          <w:u w:val="single"/>
        </w:rPr>
      </w:pPr>
      <w:r w:rsidRPr="00AA24B4">
        <w:rPr>
          <w:noProof/>
          <w:lang w:eastAsia="en-GB"/>
        </w:rPr>
        <w:drawing>
          <wp:inline distT="0" distB="0" distL="0" distR="0" wp14:anchorId="42154F7F" wp14:editId="42154F80">
            <wp:extent cx="1704975" cy="431235"/>
            <wp:effectExtent l="0" t="0" r="0" b="6985"/>
            <wp:docPr id="1" name="Picture 1" descr="http://sharepoint/sites/Communications/Procedures/Corporate%20Branding%20and%20Logos/WCC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point/sites/Communications/Procedures/Corporate%20Branding%20and%20Logos/WCC%20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55" cy="44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4F01" w14:textId="2953FEDC" w:rsidR="005345A8" w:rsidRPr="00BD55CE" w:rsidRDefault="005345A8" w:rsidP="00611710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 w:rsidRPr="00BD55CE">
        <w:rPr>
          <w:rFonts w:ascii="Arial" w:hAnsi="Arial" w:cs="Arial"/>
          <w:b/>
          <w:sz w:val="24"/>
          <w:szCs w:val="24"/>
          <w:u w:val="single"/>
        </w:rPr>
        <w:t>Contract Management Framework</w:t>
      </w:r>
    </w:p>
    <w:p w14:paraId="42154F02" w14:textId="77777777" w:rsidR="00611710" w:rsidRPr="00BD55CE" w:rsidRDefault="00611710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The aim of contract management (CM) activity is to ensure contracts are delivering best value and to foster long-term collaborative relationships with suppliers that strive for continuous improvement in service delivery and efficiencies. </w:t>
      </w:r>
    </w:p>
    <w:p w14:paraId="42154F03" w14:textId="1679C7E5" w:rsidR="005345A8" w:rsidRPr="00BD55CE" w:rsidRDefault="00051194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The Contract Management framework sets out best practice activities and frequency that these should occur, and who should be involved, depending on the risk of the contract. </w:t>
      </w:r>
      <w:r w:rsidR="005345A8" w:rsidRPr="00BD55CE">
        <w:rPr>
          <w:rFonts w:ascii="Arial" w:hAnsi="Arial" w:cs="Arial"/>
          <w:sz w:val="24"/>
          <w:szCs w:val="24"/>
        </w:rPr>
        <w:t>T</w:t>
      </w:r>
      <w:r w:rsidR="00D414F1" w:rsidRPr="00BD55CE">
        <w:rPr>
          <w:rFonts w:ascii="Arial" w:hAnsi="Arial" w:cs="Arial"/>
          <w:sz w:val="24"/>
          <w:szCs w:val="24"/>
        </w:rPr>
        <w:t xml:space="preserve">he framework </w:t>
      </w:r>
      <w:r w:rsidR="005E6F3C" w:rsidRPr="00BD55CE">
        <w:rPr>
          <w:rFonts w:ascii="Arial" w:hAnsi="Arial" w:cs="Arial"/>
          <w:sz w:val="24"/>
          <w:szCs w:val="24"/>
        </w:rPr>
        <w:t>s</w:t>
      </w:r>
      <w:r w:rsidR="00D414F1" w:rsidRPr="00BD55CE">
        <w:rPr>
          <w:rFonts w:ascii="Arial" w:hAnsi="Arial" w:cs="Arial"/>
          <w:sz w:val="24"/>
          <w:szCs w:val="24"/>
        </w:rPr>
        <w:t>upport</w:t>
      </w:r>
      <w:r w:rsidR="005E6F3C" w:rsidRPr="00BD55CE">
        <w:rPr>
          <w:rFonts w:ascii="Arial" w:hAnsi="Arial" w:cs="Arial"/>
          <w:sz w:val="24"/>
          <w:szCs w:val="24"/>
        </w:rPr>
        <w:t>s</w:t>
      </w:r>
      <w:r w:rsidR="00D414F1" w:rsidRPr="00BD55CE">
        <w:rPr>
          <w:rFonts w:ascii="Arial" w:hAnsi="Arial" w:cs="Arial"/>
          <w:sz w:val="24"/>
          <w:szCs w:val="24"/>
        </w:rPr>
        <w:t xml:space="preserve"> a proactive and consistent approach to contract management activities</w:t>
      </w:r>
      <w:r w:rsidR="005E6F3C" w:rsidRPr="00BD55CE">
        <w:rPr>
          <w:rFonts w:ascii="Arial" w:hAnsi="Arial" w:cs="Arial"/>
          <w:sz w:val="24"/>
          <w:szCs w:val="24"/>
        </w:rPr>
        <w:t xml:space="preserve"> across the organisation.</w:t>
      </w:r>
    </w:p>
    <w:p w14:paraId="58F65656" w14:textId="4FEFAFC1" w:rsidR="00DF5EDE" w:rsidRPr="00BD55CE" w:rsidRDefault="00DF5EDE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All contracts </w:t>
      </w:r>
      <w:r w:rsidR="000C3422" w:rsidRPr="00BD55CE">
        <w:rPr>
          <w:rFonts w:ascii="Arial" w:hAnsi="Arial" w:cs="Arial"/>
          <w:sz w:val="24"/>
          <w:szCs w:val="24"/>
        </w:rPr>
        <w:t xml:space="preserve">to be </w:t>
      </w:r>
      <w:r w:rsidRPr="00BD55CE">
        <w:rPr>
          <w:rFonts w:ascii="Arial" w:hAnsi="Arial" w:cs="Arial"/>
          <w:sz w:val="24"/>
          <w:szCs w:val="24"/>
        </w:rPr>
        <w:t xml:space="preserve">assessed via the </w:t>
      </w:r>
      <w:hyperlink r:id="rId12" w:history="1">
        <w:r w:rsidRPr="00BD55CE">
          <w:rPr>
            <w:rStyle w:val="Hyperlink"/>
            <w:rFonts w:ascii="Arial" w:hAnsi="Arial" w:cs="Arial"/>
            <w:sz w:val="24"/>
            <w:szCs w:val="24"/>
          </w:rPr>
          <w:t>template</w:t>
        </w:r>
      </w:hyperlink>
      <w:r w:rsidR="000C3422" w:rsidRPr="00BD55CE">
        <w:rPr>
          <w:rFonts w:ascii="Arial" w:hAnsi="Arial" w:cs="Arial"/>
          <w:sz w:val="24"/>
          <w:szCs w:val="24"/>
        </w:rPr>
        <w:t xml:space="preserve"> at the commencement of the procurement (or contract if there is no procurement).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44"/>
        <w:gridCol w:w="2259"/>
        <w:gridCol w:w="2551"/>
        <w:gridCol w:w="3119"/>
      </w:tblGrid>
      <w:tr w:rsidR="005345A8" w:rsidRPr="00AA24B4" w14:paraId="42154F07" w14:textId="77777777" w:rsidTr="005E6F3C">
        <w:trPr>
          <w:cantSplit/>
          <w:trHeight w:val="135"/>
          <w:tblHeader/>
        </w:trPr>
        <w:tc>
          <w:tcPr>
            <w:tcW w:w="2244" w:type="dxa"/>
            <w:vMerge w:val="restart"/>
            <w:shd w:val="clear" w:color="auto" w:fill="D9D9D9" w:themeFill="background1" w:themeFillShade="D9"/>
            <w:vAlign w:val="center"/>
          </w:tcPr>
          <w:p w14:paraId="42154F04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CM Activity</w:t>
            </w:r>
          </w:p>
        </w:tc>
        <w:tc>
          <w:tcPr>
            <w:tcW w:w="7929" w:type="dxa"/>
            <w:gridSpan w:val="3"/>
            <w:shd w:val="clear" w:color="auto" w:fill="D9D9D9" w:themeFill="background1" w:themeFillShade="D9"/>
            <w:vAlign w:val="center"/>
          </w:tcPr>
          <w:p w14:paraId="42154F05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Frequency of activity*</w:t>
            </w:r>
          </w:p>
          <w:p w14:paraId="42154F06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5A8" w:rsidRPr="00AA24B4" w14:paraId="42154F0C" w14:textId="77777777" w:rsidTr="005E6F3C">
        <w:trPr>
          <w:cantSplit/>
          <w:trHeight w:val="135"/>
          <w:tblHeader/>
        </w:trPr>
        <w:tc>
          <w:tcPr>
            <w:tcW w:w="2244" w:type="dxa"/>
            <w:vMerge/>
            <w:shd w:val="clear" w:color="auto" w:fill="D9D9D9" w:themeFill="background1" w:themeFillShade="D9"/>
          </w:tcPr>
          <w:p w14:paraId="42154F08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shd w:val="clear" w:color="auto" w:fill="92D050"/>
          </w:tcPr>
          <w:p w14:paraId="42154F09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Low Risk</w:t>
            </w:r>
          </w:p>
        </w:tc>
        <w:tc>
          <w:tcPr>
            <w:tcW w:w="2551" w:type="dxa"/>
            <w:shd w:val="clear" w:color="auto" w:fill="FFC000"/>
          </w:tcPr>
          <w:p w14:paraId="42154F0A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Medium Risk</w:t>
            </w:r>
          </w:p>
        </w:tc>
        <w:tc>
          <w:tcPr>
            <w:tcW w:w="3119" w:type="dxa"/>
            <w:shd w:val="clear" w:color="auto" w:fill="FF0000"/>
          </w:tcPr>
          <w:p w14:paraId="42154F0B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High Risk</w:t>
            </w:r>
          </w:p>
        </w:tc>
      </w:tr>
      <w:tr w:rsidR="005345A8" w:rsidRPr="00AA24B4" w14:paraId="42154F2D" w14:textId="77777777" w:rsidTr="005E6F3C">
        <w:tc>
          <w:tcPr>
            <w:tcW w:w="2244" w:type="dxa"/>
            <w:vAlign w:val="center"/>
          </w:tcPr>
          <w:p w14:paraId="42154F0D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Operational Supplier Meetings (agenda and minutes)</w:t>
            </w:r>
          </w:p>
          <w:p w14:paraId="42154F0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42154F0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Six-monthly</w:t>
            </w:r>
          </w:p>
          <w:p w14:paraId="42154F1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1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4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15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16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17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154F18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9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Quarterly</w:t>
            </w:r>
          </w:p>
          <w:p w14:paraId="42154F1A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B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1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D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1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1F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2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154F2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Monthly</w:t>
            </w:r>
          </w:p>
          <w:p w14:paraId="42154F2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4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25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6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27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28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29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2A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2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</w:tr>
      <w:tr w:rsidR="005345A8" w:rsidRPr="00AA24B4" w14:paraId="42154F4B" w14:textId="77777777" w:rsidTr="005E6F3C">
        <w:tc>
          <w:tcPr>
            <w:tcW w:w="2244" w:type="dxa"/>
            <w:vAlign w:val="center"/>
          </w:tcPr>
          <w:p w14:paraId="42154F2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Strategic Supplier Meetings</w:t>
            </w:r>
          </w:p>
          <w:p w14:paraId="42154F2F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(agenda and minutes)</w:t>
            </w:r>
          </w:p>
        </w:tc>
        <w:tc>
          <w:tcPr>
            <w:tcW w:w="2259" w:type="dxa"/>
          </w:tcPr>
          <w:p w14:paraId="42154F3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</w:t>
            </w:r>
          </w:p>
        </w:tc>
        <w:tc>
          <w:tcPr>
            <w:tcW w:w="2551" w:type="dxa"/>
          </w:tcPr>
          <w:p w14:paraId="42154F3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</w:t>
            </w:r>
          </w:p>
          <w:p w14:paraId="42154F34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5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36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7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38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39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3A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3B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3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154F3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</w:t>
            </w:r>
          </w:p>
          <w:p w14:paraId="42154F3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4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4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42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43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4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45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6" w14:textId="01531E75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WCC Service Lead </w:t>
            </w:r>
            <w:r w:rsidR="00B53DC4" w:rsidRPr="00AA24B4">
              <w:rPr>
                <w:rFonts w:ascii="Arial" w:hAnsi="Arial" w:cs="Arial"/>
              </w:rPr>
              <w:t>Corporate Support</w:t>
            </w:r>
          </w:p>
          <w:p w14:paraId="42154F47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8" w14:textId="6FC1B0DB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74AAC3A2" w14:textId="5EFCBDD8" w:rsidR="00895445" w:rsidRPr="00AA24B4" w:rsidRDefault="00895445" w:rsidP="00895445">
            <w:pPr>
              <w:pStyle w:val="ListParagraph"/>
              <w:rPr>
                <w:rFonts w:ascii="Arial" w:hAnsi="Arial" w:cs="Arial"/>
              </w:rPr>
            </w:pPr>
          </w:p>
          <w:p w14:paraId="039B3DC4" w14:textId="77777777" w:rsidR="005345A8" w:rsidRDefault="005345A8" w:rsidP="00AA24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Senior rep</w:t>
            </w:r>
          </w:p>
          <w:p w14:paraId="42154F4A" w14:textId="0AFF6A3C" w:rsidR="00AA24B4" w:rsidRPr="00AA24B4" w:rsidRDefault="00AA24B4" w:rsidP="00AA24B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45A8" w:rsidRPr="00AA24B4" w14:paraId="42154F50" w14:textId="77777777" w:rsidTr="005E6F3C">
        <w:tc>
          <w:tcPr>
            <w:tcW w:w="2244" w:type="dxa"/>
          </w:tcPr>
          <w:p w14:paraId="42154F4C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lastRenderedPageBreak/>
              <w:t>Named Contract Manager</w:t>
            </w:r>
          </w:p>
        </w:tc>
        <w:tc>
          <w:tcPr>
            <w:tcW w:w="2259" w:type="dxa"/>
            <w:vAlign w:val="center"/>
          </w:tcPr>
          <w:p w14:paraId="42154F4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  <w:tc>
          <w:tcPr>
            <w:tcW w:w="2551" w:type="dxa"/>
            <w:vAlign w:val="center"/>
          </w:tcPr>
          <w:p w14:paraId="42154F4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  <w:tc>
          <w:tcPr>
            <w:tcW w:w="3119" w:type="dxa"/>
            <w:vAlign w:val="center"/>
          </w:tcPr>
          <w:p w14:paraId="42154F4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</w:tr>
      <w:tr w:rsidR="005345A8" w:rsidRPr="00AA24B4" w14:paraId="42154F55" w14:textId="77777777" w:rsidTr="005E6F3C">
        <w:tc>
          <w:tcPr>
            <w:tcW w:w="2244" w:type="dxa"/>
          </w:tcPr>
          <w:p w14:paraId="42154F51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Risk Management</w:t>
            </w:r>
          </w:p>
        </w:tc>
        <w:tc>
          <w:tcPr>
            <w:tcW w:w="2259" w:type="dxa"/>
          </w:tcPr>
          <w:p w14:paraId="42154F52" w14:textId="3C0D7273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</w:t>
            </w:r>
            <w:r w:rsidR="00E25C5A" w:rsidRPr="00AA24B4">
              <w:rPr>
                <w:rFonts w:ascii="Arial" w:hAnsi="Arial" w:cs="Arial"/>
              </w:rPr>
              <w:t>not normally required.</w:t>
            </w:r>
          </w:p>
        </w:tc>
        <w:tc>
          <w:tcPr>
            <w:tcW w:w="2551" w:type="dxa"/>
          </w:tcPr>
          <w:p w14:paraId="42154F53" w14:textId="0AD43C50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reviewed six monthly </w:t>
            </w:r>
          </w:p>
        </w:tc>
        <w:tc>
          <w:tcPr>
            <w:tcW w:w="3119" w:type="dxa"/>
          </w:tcPr>
          <w:p w14:paraId="42154F54" w14:textId="34DE5DE5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reviewed monthly</w:t>
            </w:r>
          </w:p>
        </w:tc>
      </w:tr>
      <w:tr w:rsidR="005345A8" w:rsidRPr="00AA24B4" w14:paraId="42154F5A" w14:textId="77777777" w:rsidTr="005E6F3C">
        <w:tc>
          <w:tcPr>
            <w:tcW w:w="2244" w:type="dxa"/>
          </w:tcPr>
          <w:p w14:paraId="42154F56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Performance Management</w:t>
            </w:r>
          </w:p>
        </w:tc>
        <w:tc>
          <w:tcPr>
            <w:tcW w:w="2259" w:type="dxa"/>
          </w:tcPr>
          <w:p w14:paraId="42154F57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KPI’s considered at procurement stage</w:t>
            </w:r>
          </w:p>
        </w:tc>
        <w:tc>
          <w:tcPr>
            <w:tcW w:w="2551" w:type="dxa"/>
          </w:tcPr>
          <w:p w14:paraId="42154F58" w14:textId="0B2F6C2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KPI’s embedded through procurement process</w:t>
            </w:r>
            <w:r w:rsidR="004D39ED" w:rsidRPr="00AA24B4">
              <w:rPr>
                <w:rFonts w:ascii="Arial" w:hAnsi="Arial" w:cs="Arial"/>
              </w:rPr>
              <w:t xml:space="preserve"> including sustainability and social value</w:t>
            </w:r>
          </w:p>
        </w:tc>
        <w:tc>
          <w:tcPr>
            <w:tcW w:w="3119" w:type="dxa"/>
          </w:tcPr>
          <w:p w14:paraId="42154F59" w14:textId="76D9452F" w:rsidR="005345A8" w:rsidRPr="00AA24B4" w:rsidRDefault="005345A8" w:rsidP="004D39ED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KPI’s embedded through procurement process </w:t>
            </w:r>
            <w:r w:rsidR="004D39ED" w:rsidRPr="00AA24B4">
              <w:rPr>
                <w:rFonts w:ascii="Arial" w:hAnsi="Arial" w:cs="Arial"/>
              </w:rPr>
              <w:t xml:space="preserve">including sustainability and social value </w:t>
            </w:r>
            <w:r w:rsidRPr="00AA24B4">
              <w:rPr>
                <w:rFonts w:ascii="Arial" w:hAnsi="Arial" w:cs="Arial"/>
              </w:rPr>
              <w:t>and linked to payment mechanisms</w:t>
            </w:r>
            <w:r w:rsidR="004D39ED" w:rsidRPr="00AA24B4">
              <w:rPr>
                <w:rFonts w:ascii="Arial" w:hAnsi="Arial" w:cs="Arial"/>
              </w:rPr>
              <w:t xml:space="preserve"> </w:t>
            </w:r>
            <w:r w:rsidR="00984944" w:rsidRPr="00AA24B4">
              <w:rPr>
                <w:rFonts w:ascii="Arial" w:hAnsi="Arial" w:cs="Arial"/>
              </w:rPr>
              <w:t xml:space="preserve">where </w:t>
            </w:r>
            <w:r w:rsidR="00AC0EEF" w:rsidRPr="00AA24B4">
              <w:rPr>
                <w:rFonts w:ascii="Arial" w:hAnsi="Arial" w:cs="Arial"/>
              </w:rPr>
              <w:t>appropriate</w:t>
            </w:r>
          </w:p>
        </w:tc>
      </w:tr>
      <w:tr w:rsidR="005345A8" w:rsidRPr="00AA24B4" w14:paraId="42154F5F" w14:textId="77777777" w:rsidTr="005E6F3C">
        <w:tc>
          <w:tcPr>
            <w:tcW w:w="2244" w:type="dxa"/>
          </w:tcPr>
          <w:p w14:paraId="42154F5B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financial and business standing review** through life of the contract</w:t>
            </w:r>
          </w:p>
        </w:tc>
        <w:tc>
          <w:tcPr>
            <w:tcW w:w="2259" w:type="dxa"/>
            <w:vAlign w:val="center"/>
          </w:tcPr>
          <w:p w14:paraId="42154F5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No</w:t>
            </w:r>
          </w:p>
        </w:tc>
        <w:tc>
          <w:tcPr>
            <w:tcW w:w="2551" w:type="dxa"/>
            <w:vAlign w:val="center"/>
          </w:tcPr>
          <w:p w14:paraId="42154F5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Only if a concern is raised by Contract Manager or Finance</w:t>
            </w:r>
          </w:p>
        </w:tc>
        <w:tc>
          <w:tcPr>
            <w:tcW w:w="3119" w:type="dxa"/>
            <w:vAlign w:val="center"/>
          </w:tcPr>
          <w:p w14:paraId="42154F5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Annually</w:t>
            </w:r>
          </w:p>
        </w:tc>
      </w:tr>
      <w:tr w:rsidR="00DC6B22" w:rsidRPr="00AA24B4" w14:paraId="4BE2ED40" w14:textId="77777777" w:rsidTr="005E6F3C">
        <w:tc>
          <w:tcPr>
            <w:tcW w:w="2244" w:type="dxa"/>
          </w:tcPr>
          <w:p w14:paraId="4A4EB8D5" w14:textId="05722305" w:rsidR="00DC6B22" w:rsidRPr="00AA24B4" w:rsidRDefault="00DC6B22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Insurances</w:t>
            </w:r>
          </w:p>
        </w:tc>
        <w:tc>
          <w:tcPr>
            <w:tcW w:w="2259" w:type="dxa"/>
            <w:vAlign w:val="center"/>
          </w:tcPr>
          <w:p w14:paraId="4915913B" w14:textId="30572E25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Reliance on contractual obligation for provider to maintain required insurances through the life of the contact</w:t>
            </w:r>
          </w:p>
        </w:tc>
        <w:tc>
          <w:tcPr>
            <w:tcW w:w="2551" w:type="dxa"/>
            <w:vAlign w:val="center"/>
          </w:tcPr>
          <w:p w14:paraId="5B7153B5" w14:textId="25D2246C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Reliance on contractual obligation for provider to maintain required insurances through the life of the contact</w:t>
            </w:r>
          </w:p>
        </w:tc>
        <w:tc>
          <w:tcPr>
            <w:tcW w:w="3119" w:type="dxa"/>
            <w:vAlign w:val="center"/>
          </w:tcPr>
          <w:p w14:paraId="25A52757" w14:textId="64AC4E1D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Annual </w:t>
            </w:r>
            <w:r w:rsidR="008567B2" w:rsidRPr="00AA24B4">
              <w:rPr>
                <w:rFonts w:ascii="Arial" w:hAnsi="Arial" w:cs="Arial"/>
              </w:rPr>
              <w:t>review</w:t>
            </w:r>
            <w:r w:rsidRPr="00AA24B4">
              <w:rPr>
                <w:rFonts w:ascii="Arial" w:hAnsi="Arial" w:cs="Arial"/>
              </w:rPr>
              <w:t xml:space="preserve"> by Contract Manager to ensure that the contractual obligations are maintained through the life of the contact</w:t>
            </w:r>
          </w:p>
        </w:tc>
      </w:tr>
      <w:tr w:rsidR="005345A8" w:rsidRPr="00AA24B4" w14:paraId="42154F64" w14:textId="77777777" w:rsidTr="005E6F3C">
        <w:tc>
          <w:tcPr>
            <w:tcW w:w="2244" w:type="dxa"/>
          </w:tcPr>
          <w:p w14:paraId="42154F60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Contingency and Business continuity plans</w:t>
            </w:r>
          </w:p>
        </w:tc>
        <w:tc>
          <w:tcPr>
            <w:tcW w:w="2259" w:type="dxa"/>
          </w:tcPr>
          <w:p w14:paraId="42154F6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</w:t>
            </w:r>
          </w:p>
        </w:tc>
        <w:tc>
          <w:tcPr>
            <w:tcW w:w="2551" w:type="dxa"/>
          </w:tcPr>
          <w:p w14:paraId="42154F6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 place from start and reviewed annually</w:t>
            </w:r>
          </w:p>
        </w:tc>
        <w:tc>
          <w:tcPr>
            <w:tcW w:w="3119" w:type="dxa"/>
          </w:tcPr>
          <w:p w14:paraId="42154F63" w14:textId="77777777" w:rsidR="005345A8" w:rsidRPr="00AA24B4" w:rsidRDefault="005345A8" w:rsidP="002D2F97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 place from start and reviewed annually</w:t>
            </w:r>
          </w:p>
        </w:tc>
      </w:tr>
      <w:tr w:rsidR="005345A8" w:rsidRPr="00AA24B4" w14:paraId="42154F69" w14:textId="77777777" w:rsidTr="005E6F3C">
        <w:tc>
          <w:tcPr>
            <w:tcW w:w="2244" w:type="dxa"/>
          </w:tcPr>
          <w:p w14:paraId="42154F65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Exit Plan</w:t>
            </w:r>
          </w:p>
        </w:tc>
        <w:tc>
          <w:tcPr>
            <w:tcW w:w="2259" w:type="dxa"/>
          </w:tcPr>
          <w:p w14:paraId="42154F66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Agreed with supplier at start of contract, with Contract Manager ensuring all relevant data and </w:t>
            </w:r>
            <w:r w:rsidRPr="00AA24B4">
              <w:rPr>
                <w:rFonts w:ascii="Arial" w:hAnsi="Arial" w:cs="Arial"/>
              </w:rPr>
              <w:lastRenderedPageBreak/>
              <w:t>documentation is provided by supplier before end of contract</w:t>
            </w:r>
          </w:p>
        </w:tc>
        <w:tc>
          <w:tcPr>
            <w:tcW w:w="2551" w:type="dxa"/>
          </w:tcPr>
          <w:p w14:paraId="42154F67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lastRenderedPageBreak/>
              <w:t>Produced at start of contract and finalised at least six months before contract end</w:t>
            </w:r>
          </w:p>
        </w:tc>
        <w:tc>
          <w:tcPr>
            <w:tcW w:w="3119" w:type="dxa"/>
          </w:tcPr>
          <w:p w14:paraId="42154F68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Produced at start of contract and updated annually, with final version in place one year before end of contract</w:t>
            </w:r>
          </w:p>
        </w:tc>
      </w:tr>
      <w:tr w:rsidR="005345A8" w:rsidRPr="00AA24B4" w14:paraId="42154F6E" w14:textId="77777777" w:rsidTr="005E6F3C">
        <w:tc>
          <w:tcPr>
            <w:tcW w:w="2244" w:type="dxa"/>
          </w:tcPr>
          <w:p w14:paraId="42154F6A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Soft Market Testing (for next contract if relevant)</w:t>
            </w:r>
          </w:p>
        </w:tc>
        <w:tc>
          <w:tcPr>
            <w:tcW w:w="2259" w:type="dxa"/>
          </w:tcPr>
          <w:p w14:paraId="42154F6B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 (can be initiated by CM, if client needs or market conditions changed significantly since original contract was procured)</w:t>
            </w:r>
          </w:p>
        </w:tc>
        <w:tc>
          <w:tcPr>
            <w:tcW w:w="2551" w:type="dxa"/>
          </w:tcPr>
          <w:p w14:paraId="42154F6C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To be carried out 6 – 12 months before contract end</w:t>
            </w:r>
          </w:p>
        </w:tc>
        <w:tc>
          <w:tcPr>
            <w:tcW w:w="3119" w:type="dxa"/>
          </w:tcPr>
          <w:p w14:paraId="42154F6D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To be carried out 12 months before contract end</w:t>
            </w:r>
          </w:p>
        </w:tc>
      </w:tr>
    </w:tbl>
    <w:p w14:paraId="42154F7A" w14:textId="77777777" w:rsidR="005345A8" w:rsidRPr="00AA24B4" w:rsidRDefault="005345A8" w:rsidP="005345A8">
      <w:pPr>
        <w:rPr>
          <w:rFonts w:ascii="Arial" w:hAnsi="Arial" w:cs="Arial"/>
        </w:rPr>
      </w:pPr>
    </w:p>
    <w:p w14:paraId="42154F7B" w14:textId="370C48D2" w:rsidR="005345A8" w:rsidRPr="00BD55CE" w:rsidRDefault="005345A8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* Frequency and attendees set out is a </w:t>
      </w:r>
      <w:r w:rsidR="00E82EE6">
        <w:rPr>
          <w:rFonts w:ascii="Arial" w:hAnsi="Arial" w:cs="Arial"/>
          <w:sz w:val="24"/>
          <w:szCs w:val="24"/>
        </w:rPr>
        <w:t>minimum unless otherwise agreed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Pr="00BD55CE">
        <w:rPr>
          <w:rFonts w:ascii="Arial" w:hAnsi="Arial" w:cs="Arial"/>
          <w:sz w:val="24"/>
          <w:szCs w:val="24"/>
        </w:rPr>
        <w:t>Some contracts may demand more frequent monitoring or, where there is a short-term contract, meetings should be proportionate to the risk and length of contract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="007E05E0" w:rsidRPr="00BD55CE">
        <w:rPr>
          <w:rFonts w:ascii="Arial" w:hAnsi="Arial" w:cs="Arial"/>
          <w:sz w:val="24"/>
          <w:szCs w:val="24"/>
        </w:rPr>
        <w:t>Contracts for business applications (</w:t>
      </w:r>
      <w:r w:rsidR="003D4332" w:rsidRPr="00BD55CE">
        <w:rPr>
          <w:rFonts w:ascii="Arial" w:hAnsi="Arial" w:cs="Arial"/>
          <w:sz w:val="24"/>
          <w:szCs w:val="24"/>
        </w:rPr>
        <w:t>i.e.,</w:t>
      </w:r>
      <w:r w:rsidR="007E05E0" w:rsidRPr="00BD55CE">
        <w:rPr>
          <w:rFonts w:ascii="Arial" w:hAnsi="Arial" w:cs="Arial"/>
          <w:sz w:val="24"/>
          <w:szCs w:val="24"/>
        </w:rPr>
        <w:t xml:space="preserve"> IT systems) are the exception</w:t>
      </w:r>
      <w:r w:rsidR="00AC0EEF" w:rsidRPr="00BD55CE">
        <w:rPr>
          <w:rFonts w:ascii="Arial" w:hAnsi="Arial" w:cs="Arial"/>
          <w:sz w:val="24"/>
          <w:szCs w:val="24"/>
        </w:rPr>
        <w:t xml:space="preserve"> </w:t>
      </w:r>
      <w:r w:rsidR="007E05E0" w:rsidRPr="00BD55CE">
        <w:rPr>
          <w:rFonts w:ascii="Arial" w:hAnsi="Arial" w:cs="Arial"/>
          <w:sz w:val="24"/>
          <w:szCs w:val="24"/>
        </w:rPr>
        <w:t xml:space="preserve">and the account meetings frequency will be as agreed by IMT, the </w:t>
      </w:r>
      <w:r w:rsidR="003D4332" w:rsidRPr="00BD55CE">
        <w:rPr>
          <w:rFonts w:ascii="Arial" w:hAnsi="Arial" w:cs="Arial"/>
          <w:sz w:val="24"/>
          <w:szCs w:val="24"/>
        </w:rPr>
        <w:t>C</w:t>
      </w:r>
      <w:r w:rsidR="007E05E0" w:rsidRPr="00BD55CE">
        <w:rPr>
          <w:rFonts w:ascii="Arial" w:hAnsi="Arial" w:cs="Arial"/>
          <w:sz w:val="24"/>
          <w:szCs w:val="24"/>
        </w:rPr>
        <w:t xml:space="preserve">ontract </w:t>
      </w:r>
      <w:r w:rsidR="003D4332" w:rsidRPr="00BD55CE">
        <w:rPr>
          <w:rFonts w:ascii="Arial" w:hAnsi="Arial" w:cs="Arial"/>
          <w:sz w:val="24"/>
          <w:szCs w:val="24"/>
        </w:rPr>
        <w:t>M</w:t>
      </w:r>
      <w:r w:rsidR="007E05E0" w:rsidRPr="00BD55CE">
        <w:rPr>
          <w:rFonts w:ascii="Arial" w:hAnsi="Arial" w:cs="Arial"/>
          <w:sz w:val="24"/>
          <w:szCs w:val="24"/>
        </w:rPr>
        <w:t>an</w:t>
      </w:r>
      <w:r w:rsidR="00AC0EEF" w:rsidRPr="00BD55CE">
        <w:rPr>
          <w:rFonts w:ascii="Arial" w:hAnsi="Arial" w:cs="Arial"/>
          <w:sz w:val="24"/>
          <w:szCs w:val="24"/>
        </w:rPr>
        <w:t>a</w:t>
      </w:r>
      <w:r w:rsidR="007E05E0" w:rsidRPr="00BD55CE">
        <w:rPr>
          <w:rFonts w:ascii="Arial" w:hAnsi="Arial" w:cs="Arial"/>
          <w:sz w:val="24"/>
          <w:szCs w:val="24"/>
        </w:rPr>
        <w:t>ger and provider based on industry best practice.</w:t>
      </w:r>
    </w:p>
    <w:p w14:paraId="42154F7C" w14:textId="17A5613F" w:rsidR="005345A8" w:rsidRPr="00BD55CE" w:rsidRDefault="005345A8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>** WCC currently uses Dun and Bradstreet and these checks are undertaken by Finance</w:t>
      </w:r>
    </w:p>
    <w:p w14:paraId="3E90693B" w14:textId="5187C1D3" w:rsidR="00223673" w:rsidRPr="00BD55CE" w:rsidRDefault="00223673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>JCT and NEC Construction contracts will be managed in accordance with the terms of the specific requirements set out in each contract</w:t>
      </w:r>
      <w:r w:rsidR="00AC3658" w:rsidRPr="00BD55CE">
        <w:rPr>
          <w:rFonts w:ascii="Arial" w:hAnsi="Arial" w:cs="Arial"/>
          <w:sz w:val="24"/>
          <w:szCs w:val="24"/>
        </w:rPr>
        <w:t xml:space="preserve"> which are likely to be over and above the requirements of the CM Framework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="00AC3658" w:rsidRPr="00BD55CE">
        <w:rPr>
          <w:rFonts w:ascii="Arial" w:hAnsi="Arial" w:cs="Arial"/>
          <w:sz w:val="24"/>
          <w:szCs w:val="24"/>
        </w:rPr>
        <w:t>However, consideration should be given to the CM Framework, gaps identified and any necessary measure</w:t>
      </w:r>
      <w:r w:rsidR="003D4332" w:rsidRPr="00BD55CE">
        <w:rPr>
          <w:rFonts w:ascii="Arial" w:hAnsi="Arial" w:cs="Arial"/>
          <w:sz w:val="24"/>
          <w:szCs w:val="24"/>
        </w:rPr>
        <w:t>s</w:t>
      </w:r>
      <w:r w:rsidR="00AC3658" w:rsidRPr="00BD55CE">
        <w:rPr>
          <w:rFonts w:ascii="Arial" w:hAnsi="Arial" w:cs="Arial"/>
          <w:sz w:val="24"/>
          <w:szCs w:val="24"/>
        </w:rPr>
        <w:t xml:space="preserve"> put in place to ensure compliance as far as possible.</w:t>
      </w:r>
    </w:p>
    <w:p w14:paraId="3CBBF255" w14:textId="245E2CF8" w:rsidR="00AA24B4" w:rsidRDefault="003D4332" w:rsidP="00587254">
      <w:pPr>
        <w:rPr>
          <w:rFonts w:ascii="Arial" w:hAnsi="Arial" w:cs="Arial"/>
          <w:b/>
          <w:bCs/>
          <w:u w:val="single"/>
        </w:rPr>
      </w:pPr>
      <w:r w:rsidRPr="00BD55CE">
        <w:rPr>
          <w:rFonts w:ascii="Arial" w:hAnsi="Arial" w:cs="Arial"/>
          <w:sz w:val="24"/>
          <w:szCs w:val="24"/>
        </w:rPr>
        <w:t xml:space="preserve">Guidance on </w:t>
      </w:r>
      <w:r w:rsidR="00BD55CE">
        <w:rPr>
          <w:rFonts w:ascii="Arial" w:hAnsi="Arial" w:cs="Arial"/>
          <w:sz w:val="24"/>
          <w:szCs w:val="24"/>
        </w:rPr>
        <w:t xml:space="preserve">the </w:t>
      </w:r>
      <w:r w:rsidRPr="00BD55CE">
        <w:rPr>
          <w:rFonts w:ascii="Arial" w:hAnsi="Arial" w:cs="Arial"/>
          <w:sz w:val="24"/>
          <w:szCs w:val="24"/>
        </w:rPr>
        <w:t xml:space="preserve">Contract Management </w:t>
      </w:r>
      <w:r w:rsidR="00BD55CE">
        <w:rPr>
          <w:rFonts w:ascii="Arial" w:hAnsi="Arial" w:cs="Arial"/>
          <w:sz w:val="24"/>
          <w:szCs w:val="24"/>
        </w:rPr>
        <w:t>Framework</w:t>
      </w:r>
      <w:r w:rsidR="00E82EE6">
        <w:rPr>
          <w:rFonts w:ascii="Arial" w:hAnsi="Arial" w:cs="Arial"/>
          <w:sz w:val="24"/>
          <w:szCs w:val="24"/>
        </w:rPr>
        <w:t xml:space="preserve"> </w:t>
      </w:r>
      <w:r w:rsidRPr="00BD55CE">
        <w:rPr>
          <w:rFonts w:ascii="Arial" w:hAnsi="Arial" w:cs="Arial"/>
          <w:sz w:val="24"/>
          <w:szCs w:val="24"/>
        </w:rPr>
        <w:t xml:space="preserve">can be sought from the Procurement Team – </w:t>
      </w:r>
      <w:hyperlink r:id="rId13" w:history="1">
        <w:r w:rsidRPr="00BD55CE">
          <w:rPr>
            <w:rStyle w:val="Hyperlink"/>
            <w:rFonts w:ascii="Arial" w:hAnsi="Arial" w:cs="Arial"/>
            <w:sz w:val="24"/>
            <w:szCs w:val="24"/>
          </w:rPr>
          <w:t>procurement@winchester.gov.uk</w:t>
        </w:r>
      </w:hyperlink>
      <w:r w:rsidRPr="00BD55CE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12CADDEB" w14:textId="77777777" w:rsidR="00BD55CE" w:rsidRPr="00AA24B4" w:rsidRDefault="00BD55CE" w:rsidP="00AA24B4">
      <w:pPr>
        <w:jc w:val="center"/>
        <w:rPr>
          <w:rFonts w:ascii="Arial" w:hAnsi="Arial" w:cs="Arial"/>
          <w:b/>
          <w:bCs/>
          <w:u w:val="single"/>
        </w:rPr>
      </w:pPr>
    </w:p>
    <w:p w14:paraId="5416074F" w14:textId="77777777" w:rsidR="001A36DE" w:rsidRPr="00AA24B4" w:rsidRDefault="001A36DE"/>
    <w:sectPr w:rsidR="001A36DE" w:rsidRPr="00AA24B4" w:rsidSect="00587254">
      <w:footerReference w:type="default" r:id="rId14"/>
      <w:pgSz w:w="11906" w:h="16838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4F83" w14:textId="77777777" w:rsidR="005E6F3C" w:rsidRDefault="005E6F3C" w:rsidP="005345A8">
      <w:pPr>
        <w:spacing w:after="0" w:line="240" w:lineRule="auto"/>
      </w:pPr>
      <w:r>
        <w:separator/>
      </w:r>
    </w:p>
  </w:endnote>
  <w:endnote w:type="continuationSeparator" w:id="0">
    <w:p w14:paraId="42154F84" w14:textId="77777777" w:rsidR="005E6F3C" w:rsidRDefault="005E6F3C" w:rsidP="0053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128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F2D27" w14:textId="2D213107" w:rsidR="00AA24B4" w:rsidRDefault="00AA24B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254">
          <w:rPr>
            <w:noProof/>
          </w:rPr>
          <w:t>3</w:t>
        </w:r>
        <w:r>
          <w:rPr>
            <w:noProof/>
          </w:rPr>
          <w:fldChar w:fldCharType="end"/>
        </w:r>
      </w:p>
      <w:p w14:paraId="30AD78FA" w14:textId="77777777" w:rsidR="00AA24B4" w:rsidRDefault="00AA24B4" w:rsidP="00AA24B4">
        <w:pPr>
          <w:pStyle w:val="Footer"/>
          <w:jc w:val="right"/>
          <w:rPr>
            <w:noProof/>
          </w:rPr>
        </w:pPr>
        <w:r>
          <w:rPr>
            <w:noProof/>
          </w:rPr>
          <w:t>November 2022</w:t>
        </w:r>
      </w:p>
      <w:p w14:paraId="304217CA" w14:textId="69623A10" w:rsidR="00AA24B4" w:rsidRDefault="00AA24B4" w:rsidP="00AA24B4">
        <w:pPr>
          <w:pStyle w:val="Footer"/>
          <w:jc w:val="right"/>
        </w:pPr>
        <w:r>
          <w:rPr>
            <w:noProof/>
          </w:rPr>
          <w:t>V1.3</w:t>
        </w:r>
      </w:p>
    </w:sdtContent>
  </w:sdt>
  <w:p w14:paraId="06539E17" w14:textId="41889828" w:rsidR="00AA24B4" w:rsidRDefault="00AA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4F81" w14:textId="77777777" w:rsidR="005E6F3C" w:rsidRDefault="005E6F3C" w:rsidP="005345A8">
      <w:pPr>
        <w:spacing w:after="0" w:line="240" w:lineRule="auto"/>
      </w:pPr>
      <w:r>
        <w:separator/>
      </w:r>
    </w:p>
  </w:footnote>
  <w:footnote w:type="continuationSeparator" w:id="0">
    <w:p w14:paraId="42154F82" w14:textId="77777777" w:rsidR="005E6F3C" w:rsidRDefault="005E6F3C" w:rsidP="0053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5.7pt;height:234.25pt" o:bullet="t">
        <v:imagedata r:id="rId1" o:title="art947B"/>
      </v:shape>
    </w:pict>
  </w:numPicBullet>
  <w:abstractNum w:abstractNumId="0" w15:restartNumberingAfterBreak="0">
    <w:nsid w:val="284D5532"/>
    <w:multiLevelType w:val="hybridMultilevel"/>
    <w:tmpl w:val="6264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79BC"/>
    <w:multiLevelType w:val="hybridMultilevel"/>
    <w:tmpl w:val="FE6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650F"/>
    <w:multiLevelType w:val="hybridMultilevel"/>
    <w:tmpl w:val="0C40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8"/>
    <w:rsid w:val="00051194"/>
    <w:rsid w:val="000C3422"/>
    <w:rsid w:val="001A161A"/>
    <w:rsid w:val="001A36DE"/>
    <w:rsid w:val="00223673"/>
    <w:rsid w:val="002D2F97"/>
    <w:rsid w:val="003D4332"/>
    <w:rsid w:val="00452C3E"/>
    <w:rsid w:val="00453313"/>
    <w:rsid w:val="00466175"/>
    <w:rsid w:val="004D39ED"/>
    <w:rsid w:val="005345A8"/>
    <w:rsid w:val="00587254"/>
    <w:rsid w:val="005E6F3C"/>
    <w:rsid w:val="00611710"/>
    <w:rsid w:val="006439E0"/>
    <w:rsid w:val="00784903"/>
    <w:rsid w:val="007B3756"/>
    <w:rsid w:val="007E05E0"/>
    <w:rsid w:val="008567B2"/>
    <w:rsid w:val="00895445"/>
    <w:rsid w:val="00952BC4"/>
    <w:rsid w:val="00984944"/>
    <w:rsid w:val="00A55398"/>
    <w:rsid w:val="00AA24B4"/>
    <w:rsid w:val="00AC0EEF"/>
    <w:rsid w:val="00AC3658"/>
    <w:rsid w:val="00B53DC4"/>
    <w:rsid w:val="00BA0093"/>
    <w:rsid w:val="00BD55CE"/>
    <w:rsid w:val="00BD76B7"/>
    <w:rsid w:val="00C45342"/>
    <w:rsid w:val="00D414F1"/>
    <w:rsid w:val="00DA6A44"/>
    <w:rsid w:val="00DC6B22"/>
    <w:rsid w:val="00DE6845"/>
    <w:rsid w:val="00DF5EDE"/>
    <w:rsid w:val="00E25C5A"/>
    <w:rsid w:val="00E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4F00"/>
  <w15:chartTrackingRefBased/>
  <w15:docId w15:val="{792EB330-7D7E-4695-9E2F-B9E4189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A8"/>
  </w:style>
  <w:style w:type="paragraph" w:styleId="Footer">
    <w:name w:val="footer"/>
    <w:basedOn w:val="Normal"/>
    <w:link w:val="FooterChar"/>
    <w:uiPriority w:val="99"/>
    <w:unhideWhenUsed/>
    <w:rsid w:val="0053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A8"/>
  </w:style>
  <w:style w:type="paragraph" w:styleId="BalloonText">
    <w:name w:val="Balloon Text"/>
    <w:basedOn w:val="Normal"/>
    <w:link w:val="BalloonTextChar"/>
    <w:uiPriority w:val="99"/>
    <w:semiHidden/>
    <w:unhideWhenUsed/>
    <w:rsid w:val="00DF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5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33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34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winchester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harepoint/Intranet/Procurement/Shared%20Documents/Contract%20Risk%20Assessment.xls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95E20485C7542A74637AE3D4ABD2F" ma:contentTypeVersion="20" ma:contentTypeDescription="Create a new document." ma:contentTypeScope="" ma:versionID="16e60e6cc026f0439985d0130273fca3">
  <xsd:schema xmlns:xsd="http://www.w3.org/2001/XMLSchema" xmlns:xs="http://www.w3.org/2001/XMLSchema" xmlns:p="http://schemas.microsoft.com/office/2006/metadata/properties" xmlns:ns2="19999b70-eafc-46cb-b2ef-55063e0476f1" xmlns:ns3="086ccb68-5bc8-4000-98bb-63ccd7d98ad9" targetNamespace="http://schemas.microsoft.com/office/2006/metadata/properties" ma:root="true" ma:fieldsID="ab19070e65d161d1d04b4577ada82c7f" ns2:_="" ns3:_="">
    <xsd:import namespace="19999b70-eafc-46cb-b2ef-55063e0476f1"/>
    <xsd:import namespace="086ccb68-5bc8-4000-98bb-63ccd7d98ad9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9b70-eafc-46cb-b2ef-55063e0476f1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cb68-5bc8-4000-98bb-63ccd7d98a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9999b70-eafc-46cb-b2ef-55063e0476f1">Contract Management 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FFA8-D4C9-477A-B1E7-EA984791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9b70-eafc-46cb-b2ef-55063e0476f1"/>
    <ds:schemaRef ds:uri="086ccb68-5bc8-4000-98bb-63ccd7d98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8EB32-DECC-437C-9743-D6F56A713EE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9999b70-eafc-46cb-b2ef-55063e0476f1"/>
    <ds:schemaRef ds:uri="086ccb68-5bc8-4000-98bb-63ccd7d98ad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1C10EE-A1A9-42E9-9034-542707A0D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0794F-5B3F-4FFF-95EA-B1DE4511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Mahoney</dc:creator>
  <cp:keywords/>
  <dc:description/>
  <cp:lastModifiedBy>Yolaine Lord</cp:lastModifiedBy>
  <cp:revision>2</cp:revision>
  <cp:lastPrinted>2022-11-16T14:48:00Z</cp:lastPrinted>
  <dcterms:created xsi:type="dcterms:W3CDTF">2022-11-21T10:01:00Z</dcterms:created>
  <dcterms:modified xsi:type="dcterms:W3CDTF">2022-11-21T10:01:00Z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0x010100A7E95E20485C7542A74637AE3D4ABD2F</vt:lpwstr>
  </property>
</Properties>
</file>