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7D" w:rsidRDefault="00415B7D" w:rsidP="00415B7D">
      <w:pPr>
        <w:pStyle w:val="Default"/>
        <w:rPr>
          <w:b/>
          <w:bCs/>
          <w:color w:val="auto"/>
          <w:sz w:val="28"/>
          <w:szCs w:val="28"/>
          <w:u w:val="single"/>
        </w:rPr>
      </w:pPr>
    </w:p>
    <w:p w:rsidR="00415B7D" w:rsidRPr="00415B7D" w:rsidRDefault="00415B7D" w:rsidP="00415B7D">
      <w:pPr>
        <w:pStyle w:val="Default"/>
        <w:rPr>
          <w:color w:val="auto"/>
          <w:sz w:val="28"/>
          <w:szCs w:val="28"/>
          <w:u w:val="single"/>
        </w:rPr>
      </w:pPr>
      <w:r w:rsidRPr="00415B7D">
        <w:rPr>
          <w:b/>
          <w:bCs/>
          <w:color w:val="auto"/>
          <w:sz w:val="28"/>
          <w:szCs w:val="28"/>
          <w:u w:val="single"/>
        </w:rPr>
        <w:t xml:space="preserve">MUTUAL EXCHANGE </w:t>
      </w:r>
      <w:r w:rsidRPr="00415B7D">
        <w:rPr>
          <w:b/>
          <w:bCs/>
          <w:color w:val="auto"/>
          <w:sz w:val="28"/>
          <w:szCs w:val="28"/>
          <w:u w:val="single"/>
        </w:rPr>
        <w:t xml:space="preserve">POLICY AND PROCEDURE </w:t>
      </w:r>
    </w:p>
    <w:p w:rsidR="00415B7D" w:rsidRPr="00415B7D" w:rsidRDefault="00415B7D" w:rsidP="00415B7D">
      <w:pPr>
        <w:pStyle w:val="Default"/>
        <w:rPr>
          <w:b/>
          <w:bCs/>
          <w:color w:val="auto"/>
          <w:sz w:val="28"/>
          <w:szCs w:val="28"/>
        </w:rPr>
      </w:pPr>
    </w:p>
    <w:p w:rsidR="00415B7D" w:rsidRPr="00415B7D" w:rsidRDefault="00415B7D" w:rsidP="00415B7D">
      <w:pPr>
        <w:pStyle w:val="Default"/>
        <w:rPr>
          <w:b/>
          <w:bCs/>
          <w:color w:val="auto"/>
          <w:sz w:val="28"/>
          <w:szCs w:val="28"/>
        </w:rPr>
      </w:pPr>
      <w:r w:rsidRPr="00415B7D">
        <w:rPr>
          <w:b/>
          <w:bCs/>
          <w:color w:val="auto"/>
          <w:sz w:val="28"/>
          <w:szCs w:val="28"/>
        </w:rPr>
        <w:t xml:space="preserve">Aim of Policy and Procedure </w:t>
      </w:r>
    </w:p>
    <w:p w:rsidR="00415B7D" w:rsidRPr="00415B7D" w:rsidRDefault="00415B7D" w:rsidP="008049C1">
      <w:pPr>
        <w:pStyle w:val="Default"/>
        <w:rPr>
          <w:b/>
          <w:bCs/>
          <w:color w:val="auto"/>
          <w:sz w:val="28"/>
          <w:szCs w:val="28"/>
          <w:u w:val="single"/>
        </w:rPr>
      </w:pPr>
    </w:p>
    <w:p w:rsidR="00415B7D" w:rsidRPr="00D81C8C" w:rsidRDefault="00415B7D" w:rsidP="00D81C8C">
      <w:pPr>
        <w:tabs>
          <w:tab w:val="left" w:pos="540"/>
        </w:tabs>
        <w:ind w:right="-360"/>
        <w:rPr>
          <w:rFonts w:eastAsiaTheme="minorHAnsi" w:cs="Arial"/>
          <w:color w:val="000000"/>
          <w:sz w:val="28"/>
          <w:szCs w:val="28"/>
        </w:rPr>
      </w:pPr>
      <w:r w:rsidRPr="00415B7D">
        <w:rPr>
          <w:rFonts w:eastAsiaTheme="minorHAnsi" w:cs="Arial"/>
          <w:color w:val="000000"/>
          <w:sz w:val="28"/>
          <w:szCs w:val="28"/>
        </w:rPr>
        <w:t xml:space="preserve">The ability to exchange tenancies is recognised by </w:t>
      </w:r>
      <w:r w:rsidRPr="00D81C8C">
        <w:rPr>
          <w:rFonts w:eastAsiaTheme="minorHAnsi" w:cs="Arial"/>
          <w:color w:val="000000"/>
          <w:sz w:val="28"/>
          <w:szCs w:val="28"/>
        </w:rPr>
        <w:t xml:space="preserve">Winchester City Council </w:t>
      </w:r>
      <w:r w:rsidRPr="00415B7D">
        <w:rPr>
          <w:rFonts w:eastAsiaTheme="minorHAnsi" w:cs="Arial"/>
          <w:color w:val="000000"/>
          <w:sz w:val="28"/>
          <w:szCs w:val="28"/>
        </w:rPr>
        <w:t xml:space="preserve">as an important means for many tenants to be able to find a home more suitable for their needs. </w:t>
      </w:r>
    </w:p>
    <w:p w:rsidR="00415B7D" w:rsidRPr="00415B7D" w:rsidRDefault="00415B7D" w:rsidP="00415B7D">
      <w:pPr>
        <w:autoSpaceDE w:val="0"/>
        <w:autoSpaceDN w:val="0"/>
        <w:adjustRightInd w:val="0"/>
        <w:rPr>
          <w:rFonts w:eastAsiaTheme="minorHAnsi" w:cs="Arial"/>
          <w:color w:val="000000"/>
          <w:sz w:val="28"/>
          <w:szCs w:val="28"/>
        </w:rPr>
      </w:pPr>
    </w:p>
    <w:p w:rsidR="00415B7D" w:rsidRDefault="00415B7D" w:rsidP="00415B7D">
      <w:pPr>
        <w:autoSpaceDE w:val="0"/>
        <w:autoSpaceDN w:val="0"/>
        <w:adjustRightInd w:val="0"/>
        <w:rPr>
          <w:rFonts w:eastAsiaTheme="minorHAnsi" w:cs="Arial"/>
          <w:color w:val="000000"/>
          <w:sz w:val="28"/>
          <w:szCs w:val="28"/>
        </w:rPr>
      </w:pPr>
      <w:r w:rsidRPr="00415B7D">
        <w:rPr>
          <w:rFonts w:eastAsiaTheme="minorHAnsi" w:cs="Arial"/>
          <w:color w:val="000000"/>
          <w:sz w:val="28"/>
          <w:szCs w:val="28"/>
        </w:rPr>
        <w:t xml:space="preserve">Winchester City Council participates fully in local opportunities facilitated by choice based lettings and procedures are in place to support tenants in their search for suitable exchange partners and to facilitate a speedy and smooth exchange of properties where authorised. </w:t>
      </w:r>
    </w:p>
    <w:p w:rsidR="00937A90" w:rsidRDefault="00937A90" w:rsidP="00415B7D">
      <w:pPr>
        <w:autoSpaceDE w:val="0"/>
        <w:autoSpaceDN w:val="0"/>
        <w:adjustRightInd w:val="0"/>
        <w:rPr>
          <w:rFonts w:eastAsiaTheme="minorHAnsi" w:cs="Arial"/>
          <w:color w:val="000000"/>
          <w:sz w:val="28"/>
          <w:szCs w:val="28"/>
        </w:rPr>
      </w:pPr>
    </w:p>
    <w:p w:rsidR="00415B7D" w:rsidRPr="00415B7D" w:rsidRDefault="00415B7D" w:rsidP="00415B7D">
      <w:pPr>
        <w:autoSpaceDE w:val="0"/>
        <w:autoSpaceDN w:val="0"/>
        <w:adjustRightInd w:val="0"/>
        <w:rPr>
          <w:rFonts w:eastAsiaTheme="minorHAnsi" w:cs="Arial"/>
          <w:b/>
          <w:color w:val="000000"/>
          <w:sz w:val="28"/>
          <w:szCs w:val="28"/>
        </w:rPr>
      </w:pPr>
      <w:r w:rsidRPr="00415B7D">
        <w:rPr>
          <w:rFonts w:eastAsiaTheme="minorHAnsi" w:cs="Arial"/>
          <w:b/>
          <w:color w:val="000000"/>
          <w:sz w:val="28"/>
          <w:szCs w:val="28"/>
        </w:rPr>
        <w:t xml:space="preserve">Background Legislation </w:t>
      </w:r>
      <w:r w:rsidRPr="00E62CBA">
        <w:rPr>
          <w:rFonts w:eastAsiaTheme="minorHAnsi" w:cs="Arial"/>
          <w:b/>
          <w:color w:val="000000"/>
          <w:sz w:val="28"/>
          <w:szCs w:val="28"/>
        </w:rPr>
        <w:t>and Definitions of a Mutual Exchange</w:t>
      </w:r>
    </w:p>
    <w:p w:rsidR="00415B7D" w:rsidRPr="00E62CBA" w:rsidRDefault="00415B7D" w:rsidP="00415B7D">
      <w:pPr>
        <w:autoSpaceDE w:val="0"/>
        <w:autoSpaceDN w:val="0"/>
        <w:adjustRightInd w:val="0"/>
        <w:rPr>
          <w:rFonts w:eastAsiaTheme="minorHAnsi" w:cs="Arial"/>
          <w:color w:val="000000"/>
          <w:sz w:val="28"/>
          <w:szCs w:val="28"/>
        </w:rPr>
      </w:pPr>
    </w:p>
    <w:p w:rsidR="004C68A4" w:rsidRDefault="004C68A4" w:rsidP="004C68A4">
      <w:pPr>
        <w:tabs>
          <w:tab w:val="left" w:pos="540"/>
        </w:tabs>
        <w:ind w:right="-360"/>
        <w:rPr>
          <w:rFonts w:cs="Arial"/>
          <w:sz w:val="28"/>
          <w:szCs w:val="28"/>
        </w:rPr>
      </w:pPr>
      <w:r w:rsidRPr="00937A90">
        <w:rPr>
          <w:rFonts w:cs="Arial"/>
          <w:sz w:val="28"/>
          <w:szCs w:val="28"/>
        </w:rPr>
        <w:t>This procedure outlines the process where secure tenant</w:t>
      </w:r>
      <w:r>
        <w:rPr>
          <w:rFonts w:cs="Arial"/>
          <w:sz w:val="28"/>
          <w:szCs w:val="28"/>
        </w:rPr>
        <w:t>s have the statutory right to exchange tenancies with tenants of other Local Authorities and Housing Associations, under the Housing Act 1985</w:t>
      </w:r>
      <w:r>
        <w:rPr>
          <w:rFonts w:cs="Arial"/>
          <w:sz w:val="28"/>
          <w:szCs w:val="28"/>
        </w:rPr>
        <w:t xml:space="preserve"> Schedule 3</w:t>
      </w:r>
      <w:r w:rsidRPr="00937A90">
        <w:rPr>
          <w:rFonts w:cs="Arial"/>
          <w:sz w:val="28"/>
          <w:szCs w:val="28"/>
        </w:rPr>
        <w:t>.  This process is also called an assignment and essentially involves the tenants of two properties ‘swapping’ homes.  There is no void process involved.</w:t>
      </w:r>
      <w:r>
        <w:rPr>
          <w:rFonts w:cs="Arial"/>
          <w:sz w:val="28"/>
          <w:szCs w:val="28"/>
        </w:rPr>
        <w:t xml:space="preserve">  </w:t>
      </w:r>
    </w:p>
    <w:p w:rsidR="004C68A4" w:rsidRDefault="004C68A4" w:rsidP="00415B7D">
      <w:pPr>
        <w:autoSpaceDE w:val="0"/>
        <w:autoSpaceDN w:val="0"/>
        <w:adjustRightInd w:val="0"/>
        <w:rPr>
          <w:rFonts w:eastAsiaTheme="minorHAnsi" w:cs="Arial"/>
          <w:color w:val="000000"/>
          <w:sz w:val="28"/>
          <w:szCs w:val="28"/>
        </w:rPr>
      </w:pPr>
    </w:p>
    <w:p w:rsidR="00E62CBA" w:rsidRPr="00E62CBA" w:rsidRDefault="00E62CBA" w:rsidP="00E62CBA">
      <w:pPr>
        <w:autoSpaceDE w:val="0"/>
        <w:autoSpaceDN w:val="0"/>
        <w:adjustRightInd w:val="0"/>
        <w:rPr>
          <w:rFonts w:eastAsiaTheme="minorHAnsi" w:cs="Arial"/>
          <w:b/>
          <w:color w:val="000000"/>
          <w:sz w:val="28"/>
          <w:szCs w:val="28"/>
        </w:rPr>
      </w:pPr>
      <w:r w:rsidRPr="00E62CBA">
        <w:rPr>
          <w:rFonts w:eastAsiaTheme="minorHAnsi" w:cs="Arial"/>
          <w:b/>
          <w:color w:val="000000"/>
          <w:sz w:val="28"/>
          <w:szCs w:val="28"/>
        </w:rPr>
        <w:t xml:space="preserve">Requirements </w:t>
      </w:r>
      <w:r>
        <w:rPr>
          <w:rFonts w:eastAsiaTheme="minorHAnsi" w:cs="Arial"/>
          <w:b/>
          <w:color w:val="000000"/>
          <w:sz w:val="28"/>
          <w:szCs w:val="28"/>
        </w:rPr>
        <w:t>b</w:t>
      </w:r>
      <w:r w:rsidRPr="00E62CBA">
        <w:rPr>
          <w:rFonts w:eastAsiaTheme="minorHAnsi" w:cs="Arial"/>
          <w:b/>
          <w:color w:val="000000"/>
          <w:sz w:val="28"/>
          <w:szCs w:val="28"/>
        </w:rPr>
        <w:t xml:space="preserve">efore </w:t>
      </w:r>
      <w:r>
        <w:rPr>
          <w:rFonts w:eastAsiaTheme="minorHAnsi" w:cs="Arial"/>
          <w:b/>
          <w:color w:val="000000"/>
          <w:sz w:val="28"/>
          <w:szCs w:val="28"/>
        </w:rPr>
        <w:t>a</w:t>
      </w:r>
      <w:r w:rsidRPr="00E62CBA">
        <w:rPr>
          <w:rFonts w:eastAsiaTheme="minorHAnsi" w:cs="Arial"/>
          <w:b/>
          <w:color w:val="000000"/>
          <w:sz w:val="28"/>
          <w:szCs w:val="28"/>
        </w:rPr>
        <w:t xml:space="preserve">n Exchange </w:t>
      </w:r>
    </w:p>
    <w:p w:rsidR="00E62CBA" w:rsidRDefault="00E62CBA" w:rsidP="00E62CBA">
      <w:pPr>
        <w:autoSpaceDE w:val="0"/>
        <w:autoSpaceDN w:val="0"/>
        <w:adjustRightInd w:val="0"/>
        <w:rPr>
          <w:rFonts w:eastAsiaTheme="minorHAnsi" w:cs="Arial"/>
          <w:color w:val="000000"/>
          <w:sz w:val="28"/>
          <w:szCs w:val="28"/>
        </w:rPr>
      </w:pPr>
    </w:p>
    <w:p w:rsidR="00E62CBA" w:rsidRDefault="00E62CBA" w:rsidP="00E62CBA">
      <w:pPr>
        <w:autoSpaceDE w:val="0"/>
        <w:autoSpaceDN w:val="0"/>
        <w:adjustRightInd w:val="0"/>
        <w:rPr>
          <w:rFonts w:eastAsiaTheme="minorHAnsi" w:cs="Arial"/>
          <w:color w:val="000000"/>
          <w:sz w:val="28"/>
          <w:szCs w:val="28"/>
        </w:rPr>
      </w:pPr>
      <w:r w:rsidRPr="00E62CBA">
        <w:rPr>
          <w:rFonts w:eastAsiaTheme="minorHAnsi" w:cs="Arial"/>
          <w:color w:val="000000"/>
          <w:sz w:val="28"/>
          <w:szCs w:val="28"/>
        </w:rPr>
        <w:t xml:space="preserve">The following conditions must be met </w:t>
      </w:r>
      <w:r>
        <w:rPr>
          <w:rFonts w:eastAsiaTheme="minorHAnsi" w:cs="Arial"/>
          <w:color w:val="000000"/>
          <w:sz w:val="28"/>
          <w:szCs w:val="28"/>
        </w:rPr>
        <w:t xml:space="preserve">before an exchange may proceed </w:t>
      </w:r>
    </w:p>
    <w:p w:rsidR="00E62CBA" w:rsidRPr="00E62CBA" w:rsidRDefault="00E62CBA" w:rsidP="00E62CBA">
      <w:pPr>
        <w:autoSpaceDE w:val="0"/>
        <w:autoSpaceDN w:val="0"/>
        <w:adjustRightInd w:val="0"/>
        <w:rPr>
          <w:rFonts w:eastAsiaTheme="minorHAnsi" w:cs="Arial"/>
          <w:color w:val="000000"/>
          <w:sz w:val="28"/>
          <w:szCs w:val="28"/>
        </w:rPr>
      </w:pPr>
      <w:r w:rsidRPr="00E62CBA">
        <w:rPr>
          <w:rFonts w:eastAsiaTheme="minorHAnsi" w:cs="Arial"/>
          <w:color w:val="000000"/>
          <w:sz w:val="28"/>
          <w:szCs w:val="28"/>
        </w:rPr>
        <w:t xml:space="preserve">but they are not grounds for refusing consent: </w:t>
      </w:r>
    </w:p>
    <w:p w:rsidR="00E62CBA" w:rsidRDefault="00E62CBA" w:rsidP="00E62CBA">
      <w:pPr>
        <w:autoSpaceDE w:val="0"/>
        <w:autoSpaceDN w:val="0"/>
        <w:adjustRightInd w:val="0"/>
        <w:spacing w:after="41"/>
        <w:rPr>
          <w:rFonts w:eastAsiaTheme="minorHAnsi" w:cs="Arial"/>
          <w:color w:val="000000"/>
          <w:sz w:val="28"/>
          <w:szCs w:val="28"/>
        </w:rPr>
      </w:pPr>
    </w:p>
    <w:p w:rsidR="00E62CBA" w:rsidRPr="00E62CBA" w:rsidRDefault="00E62CBA" w:rsidP="00E62CBA">
      <w:pPr>
        <w:pStyle w:val="ListParagraph"/>
        <w:numPr>
          <w:ilvl w:val="0"/>
          <w:numId w:val="18"/>
        </w:numPr>
        <w:autoSpaceDE w:val="0"/>
        <w:autoSpaceDN w:val="0"/>
        <w:adjustRightInd w:val="0"/>
        <w:spacing w:after="41"/>
        <w:rPr>
          <w:rFonts w:eastAsiaTheme="minorHAnsi" w:cs="Arial"/>
          <w:color w:val="000000"/>
          <w:sz w:val="28"/>
          <w:szCs w:val="28"/>
        </w:rPr>
      </w:pPr>
      <w:r w:rsidRPr="00E62CBA">
        <w:rPr>
          <w:rFonts w:eastAsiaTheme="minorHAnsi" w:cs="Arial"/>
          <w:color w:val="000000"/>
          <w:sz w:val="28"/>
          <w:szCs w:val="28"/>
        </w:rPr>
        <w:t>Rent must be fully paid by th</w:t>
      </w:r>
      <w:r w:rsidR="004C68A4">
        <w:rPr>
          <w:rFonts w:eastAsiaTheme="minorHAnsi" w:cs="Arial"/>
          <w:color w:val="000000"/>
          <w:sz w:val="28"/>
          <w:szCs w:val="28"/>
        </w:rPr>
        <w:t>e date of the proposed exchange</w:t>
      </w:r>
      <w:r w:rsidRPr="00E62CBA">
        <w:rPr>
          <w:rFonts w:eastAsiaTheme="minorHAnsi" w:cs="Arial"/>
          <w:color w:val="000000"/>
          <w:sz w:val="28"/>
          <w:szCs w:val="28"/>
        </w:rPr>
        <w:t xml:space="preserve"> </w:t>
      </w:r>
    </w:p>
    <w:p w:rsidR="00E62CBA" w:rsidRDefault="00E62CBA" w:rsidP="00E62CBA">
      <w:pPr>
        <w:autoSpaceDE w:val="0"/>
        <w:autoSpaceDN w:val="0"/>
        <w:adjustRightInd w:val="0"/>
        <w:rPr>
          <w:rFonts w:eastAsiaTheme="minorHAnsi" w:cs="Arial"/>
          <w:color w:val="000000"/>
          <w:sz w:val="28"/>
          <w:szCs w:val="28"/>
        </w:rPr>
      </w:pPr>
    </w:p>
    <w:p w:rsidR="00E62CBA" w:rsidRPr="00E62CBA" w:rsidRDefault="00E62CBA" w:rsidP="00E62CBA">
      <w:pPr>
        <w:pStyle w:val="ListParagraph"/>
        <w:numPr>
          <w:ilvl w:val="0"/>
          <w:numId w:val="18"/>
        </w:numPr>
        <w:autoSpaceDE w:val="0"/>
        <w:autoSpaceDN w:val="0"/>
        <w:adjustRightInd w:val="0"/>
        <w:rPr>
          <w:rFonts w:eastAsiaTheme="minorHAnsi" w:cs="Arial"/>
          <w:color w:val="000000"/>
          <w:sz w:val="28"/>
          <w:szCs w:val="28"/>
        </w:rPr>
      </w:pPr>
      <w:r w:rsidRPr="00E62CBA">
        <w:rPr>
          <w:rFonts w:eastAsiaTheme="minorHAnsi" w:cs="Arial"/>
          <w:color w:val="000000"/>
          <w:sz w:val="28"/>
          <w:szCs w:val="28"/>
        </w:rPr>
        <w:t xml:space="preserve">Any other obligation under the tenancy that has not been met, or a breach of the tenancy, must be remedied by the date of the proposed exchange </w:t>
      </w:r>
    </w:p>
    <w:p w:rsidR="00415B7D" w:rsidRPr="00415B7D" w:rsidRDefault="00415B7D" w:rsidP="00415B7D">
      <w:pPr>
        <w:autoSpaceDE w:val="0"/>
        <w:autoSpaceDN w:val="0"/>
        <w:adjustRightInd w:val="0"/>
        <w:rPr>
          <w:rFonts w:eastAsiaTheme="minorHAnsi" w:cs="Arial"/>
          <w:color w:val="000000"/>
          <w:sz w:val="28"/>
          <w:szCs w:val="28"/>
        </w:rPr>
      </w:pPr>
    </w:p>
    <w:p w:rsidR="00415B7D" w:rsidRPr="00415B7D" w:rsidRDefault="00415B7D" w:rsidP="00415B7D">
      <w:pPr>
        <w:autoSpaceDE w:val="0"/>
        <w:autoSpaceDN w:val="0"/>
        <w:adjustRightInd w:val="0"/>
        <w:rPr>
          <w:rFonts w:eastAsiaTheme="minorHAnsi" w:cs="Arial"/>
          <w:b/>
          <w:color w:val="000000"/>
          <w:sz w:val="28"/>
          <w:szCs w:val="28"/>
        </w:rPr>
      </w:pPr>
      <w:r w:rsidRPr="00415B7D">
        <w:rPr>
          <w:rFonts w:eastAsiaTheme="minorHAnsi" w:cs="Arial"/>
          <w:b/>
          <w:color w:val="000000"/>
          <w:sz w:val="28"/>
          <w:szCs w:val="28"/>
        </w:rPr>
        <w:t xml:space="preserve">Secure Tenancies </w:t>
      </w:r>
    </w:p>
    <w:p w:rsidR="00415B7D" w:rsidRPr="00415B7D" w:rsidRDefault="00415B7D" w:rsidP="00415B7D">
      <w:pPr>
        <w:autoSpaceDE w:val="0"/>
        <w:autoSpaceDN w:val="0"/>
        <w:adjustRightInd w:val="0"/>
        <w:rPr>
          <w:rFonts w:eastAsiaTheme="minorHAnsi" w:cs="Arial"/>
          <w:color w:val="000000"/>
          <w:sz w:val="28"/>
          <w:szCs w:val="28"/>
        </w:rPr>
      </w:pPr>
    </w:p>
    <w:p w:rsidR="00415B7D" w:rsidRPr="00415B7D" w:rsidRDefault="00415B7D" w:rsidP="00415B7D">
      <w:pPr>
        <w:autoSpaceDE w:val="0"/>
        <w:autoSpaceDN w:val="0"/>
        <w:adjustRightInd w:val="0"/>
        <w:rPr>
          <w:rFonts w:eastAsiaTheme="minorHAnsi" w:cs="Arial"/>
          <w:color w:val="000000"/>
          <w:sz w:val="28"/>
          <w:szCs w:val="28"/>
        </w:rPr>
      </w:pPr>
      <w:r w:rsidRPr="00415B7D">
        <w:rPr>
          <w:rFonts w:eastAsiaTheme="minorHAnsi" w:cs="Arial"/>
          <w:color w:val="000000"/>
          <w:sz w:val="28"/>
          <w:szCs w:val="28"/>
        </w:rPr>
        <w:t>In relation to secure tenancies</w:t>
      </w:r>
      <w:r w:rsidR="004C68A4">
        <w:rPr>
          <w:rFonts w:eastAsiaTheme="minorHAnsi" w:cs="Arial"/>
          <w:color w:val="000000"/>
          <w:sz w:val="28"/>
          <w:szCs w:val="28"/>
        </w:rPr>
        <w:t>,</w:t>
      </w:r>
      <w:r w:rsidRPr="00415B7D">
        <w:rPr>
          <w:rFonts w:eastAsiaTheme="minorHAnsi" w:cs="Arial"/>
          <w:color w:val="000000"/>
          <w:sz w:val="28"/>
          <w:szCs w:val="28"/>
        </w:rPr>
        <w:t xml:space="preserve"> an application for an exchange can only be refused on one of the grounds in the Housing Act 1985 Schedule 3, the most relevant</w:t>
      </w:r>
      <w:r w:rsidR="004C68A4">
        <w:rPr>
          <w:rFonts w:eastAsiaTheme="minorHAnsi" w:cs="Arial"/>
          <w:color w:val="000000"/>
          <w:sz w:val="28"/>
          <w:szCs w:val="28"/>
        </w:rPr>
        <w:t xml:space="preserve"> of which are summarised below.</w:t>
      </w:r>
    </w:p>
    <w:p w:rsidR="00415B7D" w:rsidRPr="00415B7D" w:rsidRDefault="00415B7D" w:rsidP="00415B7D">
      <w:pPr>
        <w:autoSpaceDE w:val="0"/>
        <w:autoSpaceDN w:val="0"/>
        <w:adjustRightInd w:val="0"/>
        <w:rPr>
          <w:rFonts w:eastAsiaTheme="minorHAnsi" w:cs="Arial"/>
          <w:color w:val="000000"/>
          <w:sz w:val="28"/>
          <w:szCs w:val="28"/>
        </w:rPr>
      </w:pPr>
    </w:p>
    <w:p w:rsidR="00415B7D" w:rsidRPr="00415B7D" w:rsidRDefault="00415B7D" w:rsidP="00415B7D">
      <w:pPr>
        <w:autoSpaceDE w:val="0"/>
        <w:autoSpaceDN w:val="0"/>
        <w:adjustRightInd w:val="0"/>
        <w:rPr>
          <w:rFonts w:eastAsiaTheme="minorHAnsi" w:cs="Arial"/>
          <w:color w:val="000000"/>
          <w:sz w:val="28"/>
          <w:szCs w:val="28"/>
        </w:rPr>
      </w:pPr>
      <w:r w:rsidRPr="00415B7D">
        <w:rPr>
          <w:rFonts w:eastAsiaTheme="minorHAnsi" w:cs="Arial"/>
          <w:color w:val="000000"/>
          <w:sz w:val="28"/>
          <w:szCs w:val="28"/>
        </w:rPr>
        <w:t>Either of the tenant</w:t>
      </w:r>
      <w:r w:rsidR="004C68A4">
        <w:rPr>
          <w:rFonts w:eastAsiaTheme="minorHAnsi" w:cs="Arial"/>
          <w:color w:val="000000"/>
          <w:sz w:val="28"/>
          <w:szCs w:val="28"/>
        </w:rPr>
        <w:t>’</w:t>
      </w:r>
      <w:r w:rsidRPr="00415B7D">
        <w:rPr>
          <w:rFonts w:eastAsiaTheme="minorHAnsi" w:cs="Arial"/>
          <w:color w:val="000000"/>
          <w:sz w:val="28"/>
          <w:szCs w:val="28"/>
        </w:rPr>
        <w:t xml:space="preserve">s has an outstanding possession order against them or a Notice of Seeking Possession is in force on one of the following grounds: </w:t>
      </w:r>
    </w:p>
    <w:p w:rsidR="00415B7D" w:rsidRPr="00415B7D" w:rsidRDefault="00415B7D" w:rsidP="00415B7D">
      <w:pPr>
        <w:autoSpaceDE w:val="0"/>
        <w:autoSpaceDN w:val="0"/>
        <w:adjustRightInd w:val="0"/>
        <w:rPr>
          <w:rFonts w:eastAsiaTheme="minorHAnsi" w:cs="Arial"/>
          <w:color w:val="000000"/>
          <w:sz w:val="28"/>
          <w:szCs w:val="28"/>
        </w:rPr>
      </w:pPr>
    </w:p>
    <w:p w:rsidR="00415B7D" w:rsidRPr="00415B7D" w:rsidRDefault="00415B7D" w:rsidP="00415B7D">
      <w:pPr>
        <w:pStyle w:val="ListParagraph"/>
        <w:numPr>
          <w:ilvl w:val="0"/>
          <w:numId w:val="17"/>
        </w:numPr>
        <w:autoSpaceDE w:val="0"/>
        <w:autoSpaceDN w:val="0"/>
        <w:adjustRightInd w:val="0"/>
        <w:rPr>
          <w:rFonts w:eastAsiaTheme="minorHAnsi" w:cs="Arial"/>
          <w:color w:val="000000"/>
          <w:sz w:val="28"/>
          <w:szCs w:val="28"/>
        </w:rPr>
      </w:pPr>
      <w:r w:rsidRPr="00415B7D">
        <w:rPr>
          <w:rFonts w:eastAsiaTheme="minorHAnsi" w:cs="Arial"/>
          <w:color w:val="000000"/>
          <w:sz w:val="28"/>
          <w:szCs w:val="28"/>
        </w:rPr>
        <w:t>Breach of tena</w:t>
      </w:r>
      <w:r w:rsidR="004F4DE5">
        <w:rPr>
          <w:rFonts w:eastAsiaTheme="minorHAnsi" w:cs="Arial"/>
          <w:color w:val="000000"/>
          <w:sz w:val="28"/>
          <w:szCs w:val="28"/>
        </w:rPr>
        <w:t>ncy conditions or rent arrears</w:t>
      </w:r>
    </w:p>
    <w:p w:rsidR="00415B7D" w:rsidRPr="00415B7D" w:rsidRDefault="00415B7D" w:rsidP="00415B7D">
      <w:pPr>
        <w:autoSpaceDE w:val="0"/>
        <w:autoSpaceDN w:val="0"/>
        <w:adjustRightInd w:val="0"/>
        <w:rPr>
          <w:rFonts w:eastAsiaTheme="minorHAnsi" w:cs="Arial"/>
          <w:color w:val="000000"/>
          <w:sz w:val="28"/>
          <w:szCs w:val="28"/>
        </w:rPr>
      </w:pPr>
    </w:p>
    <w:p w:rsidR="00415B7D" w:rsidRPr="00415B7D" w:rsidRDefault="00415B7D" w:rsidP="00415B7D">
      <w:pPr>
        <w:pStyle w:val="ListParagraph"/>
        <w:numPr>
          <w:ilvl w:val="0"/>
          <w:numId w:val="16"/>
        </w:numPr>
        <w:autoSpaceDE w:val="0"/>
        <w:autoSpaceDN w:val="0"/>
        <w:adjustRightInd w:val="0"/>
        <w:rPr>
          <w:rFonts w:eastAsiaTheme="minorHAnsi" w:cs="Arial"/>
          <w:color w:val="000000"/>
          <w:sz w:val="28"/>
          <w:szCs w:val="28"/>
        </w:rPr>
      </w:pPr>
      <w:r w:rsidRPr="00415B7D">
        <w:rPr>
          <w:rFonts w:eastAsiaTheme="minorHAnsi" w:cs="Arial"/>
          <w:color w:val="000000"/>
          <w:sz w:val="28"/>
          <w:szCs w:val="28"/>
        </w:rPr>
        <w:t>Nuisance or annoyance to neighbours</w:t>
      </w:r>
    </w:p>
    <w:p w:rsidR="00415B7D" w:rsidRPr="00415B7D" w:rsidRDefault="00415B7D" w:rsidP="00415B7D">
      <w:pPr>
        <w:autoSpaceDE w:val="0"/>
        <w:autoSpaceDN w:val="0"/>
        <w:adjustRightInd w:val="0"/>
        <w:rPr>
          <w:rFonts w:eastAsiaTheme="minorHAnsi" w:cs="Arial"/>
          <w:color w:val="000000"/>
          <w:sz w:val="28"/>
          <w:szCs w:val="28"/>
        </w:rPr>
      </w:pPr>
    </w:p>
    <w:p w:rsidR="00E62CBA" w:rsidRDefault="00E62CBA" w:rsidP="00E62CBA">
      <w:pPr>
        <w:pStyle w:val="ListParagraph"/>
        <w:numPr>
          <w:ilvl w:val="0"/>
          <w:numId w:val="15"/>
        </w:numPr>
        <w:autoSpaceDE w:val="0"/>
        <w:autoSpaceDN w:val="0"/>
        <w:adjustRightInd w:val="0"/>
        <w:rPr>
          <w:rFonts w:eastAsiaTheme="minorHAnsi" w:cs="Arial"/>
          <w:color w:val="000000"/>
          <w:sz w:val="28"/>
          <w:szCs w:val="28"/>
        </w:rPr>
      </w:pPr>
      <w:r>
        <w:rPr>
          <w:rFonts w:eastAsiaTheme="minorHAnsi" w:cs="Arial"/>
          <w:color w:val="000000"/>
          <w:sz w:val="28"/>
          <w:szCs w:val="28"/>
        </w:rPr>
        <w:t>False information provide with the application for housing</w:t>
      </w:r>
    </w:p>
    <w:p w:rsidR="00E62CBA" w:rsidRPr="00E62CBA" w:rsidRDefault="00E62CBA" w:rsidP="00E62CBA">
      <w:pPr>
        <w:pStyle w:val="ListParagraph"/>
        <w:rPr>
          <w:rFonts w:eastAsiaTheme="minorHAnsi" w:cs="Arial"/>
          <w:color w:val="000000"/>
          <w:sz w:val="28"/>
          <w:szCs w:val="28"/>
        </w:rPr>
      </w:pPr>
    </w:p>
    <w:p w:rsidR="004F4DE5" w:rsidRDefault="004C68A4" w:rsidP="00E62CBA">
      <w:pPr>
        <w:pStyle w:val="ListParagraph"/>
        <w:numPr>
          <w:ilvl w:val="0"/>
          <w:numId w:val="15"/>
        </w:numPr>
        <w:autoSpaceDE w:val="0"/>
        <w:autoSpaceDN w:val="0"/>
        <w:adjustRightInd w:val="0"/>
        <w:rPr>
          <w:rFonts w:eastAsiaTheme="minorHAnsi" w:cs="Arial"/>
          <w:color w:val="000000"/>
          <w:sz w:val="28"/>
          <w:szCs w:val="28"/>
        </w:rPr>
      </w:pPr>
      <w:r>
        <w:rPr>
          <w:rFonts w:eastAsiaTheme="minorHAnsi" w:cs="Arial"/>
          <w:color w:val="000000"/>
          <w:sz w:val="28"/>
          <w:szCs w:val="28"/>
        </w:rPr>
        <w:t>Is an Introductory t</w:t>
      </w:r>
      <w:r w:rsidR="004F4DE5">
        <w:rPr>
          <w:rFonts w:eastAsiaTheme="minorHAnsi" w:cs="Arial"/>
          <w:color w:val="000000"/>
          <w:sz w:val="28"/>
          <w:szCs w:val="28"/>
        </w:rPr>
        <w:t>enant</w:t>
      </w:r>
    </w:p>
    <w:p w:rsidR="00937A90" w:rsidRPr="00937A90" w:rsidRDefault="00937A90" w:rsidP="00937A90">
      <w:pPr>
        <w:pStyle w:val="ListParagraph"/>
        <w:rPr>
          <w:rFonts w:eastAsiaTheme="minorHAnsi" w:cs="Arial"/>
          <w:color w:val="000000"/>
          <w:sz w:val="28"/>
          <w:szCs w:val="28"/>
        </w:rPr>
      </w:pPr>
    </w:p>
    <w:p w:rsidR="00E62CBA" w:rsidRDefault="00E62CBA" w:rsidP="00E62CBA">
      <w:pPr>
        <w:pStyle w:val="ListParagraph"/>
        <w:numPr>
          <w:ilvl w:val="0"/>
          <w:numId w:val="13"/>
        </w:numPr>
        <w:autoSpaceDE w:val="0"/>
        <w:autoSpaceDN w:val="0"/>
        <w:adjustRightInd w:val="0"/>
        <w:rPr>
          <w:rFonts w:eastAsiaTheme="minorHAnsi" w:cs="Arial"/>
          <w:color w:val="000000"/>
          <w:sz w:val="28"/>
          <w:szCs w:val="28"/>
        </w:rPr>
      </w:pPr>
      <w:r w:rsidRPr="00415B7D">
        <w:rPr>
          <w:rFonts w:eastAsiaTheme="minorHAnsi" w:cs="Arial"/>
          <w:color w:val="000000"/>
          <w:sz w:val="28"/>
          <w:szCs w:val="28"/>
        </w:rPr>
        <w:t>The incoming tenant would substantially under-occupy the property, currently one additional bed</w:t>
      </w:r>
      <w:r w:rsidR="004F4DE5">
        <w:rPr>
          <w:rFonts w:eastAsiaTheme="minorHAnsi" w:cs="Arial"/>
          <w:color w:val="000000"/>
          <w:sz w:val="28"/>
          <w:szCs w:val="28"/>
        </w:rPr>
        <w:t>room is permitted</w:t>
      </w:r>
    </w:p>
    <w:p w:rsidR="004F4DE5" w:rsidRDefault="004F4DE5" w:rsidP="004F4DE5">
      <w:pPr>
        <w:autoSpaceDE w:val="0"/>
        <w:autoSpaceDN w:val="0"/>
        <w:adjustRightInd w:val="0"/>
        <w:rPr>
          <w:rFonts w:eastAsiaTheme="minorHAnsi" w:cs="Arial"/>
          <w:color w:val="000000"/>
          <w:sz w:val="28"/>
          <w:szCs w:val="28"/>
        </w:rPr>
      </w:pPr>
    </w:p>
    <w:p w:rsidR="004F4DE5" w:rsidRPr="004F4DE5" w:rsidRDefault="004F4DE5" w:rsidP="004F4DE5">
      <w:pPr>
        <w:ind w:right="-360"/>
        <w:rPr>
          <w:b/>
          <w:sz w:val="28"/>
          <w:szCs w:val="28"/>
        </w:rPr>
      </w:pPr>
      <w:r w:rsidRPr="004F4DE5">
        <w:rPr>
          <w:b/>
          <w:sz w:val="28"/>
          <w:szCs w:val="28"/>
        </w:rPr>
        <w:t>Exchanges Under S158 Localism Act 2011</w:t>
      </w:r>
      <w:r w:rsidRPr="004F4DE5">
        <w:rPr>
          <w:b/>
          <w:sz w:val="28"/>
          <w:szCs w:val="28"/>
        </w:rPr>
        <w:br/>
      </w:r>
    </w:p>
    <w:p w:rsidR="004F4DE5" w:rsidRPr="004F4DE5" w:rsidRDefault="004F4DE5" w:rsidP="004F4DE5">
      <w:pPr>
        <w:ind w:right="-360"/>
        <w:rPr>
          <w:sz w:val="28"/>
          <w:szCs w:val="28"/>
        </w:rPr>
      </w:pPr>
      <w:r w:rsidRPr="004F4DE5">
        <w:rPr>
          <w:sz w:val="28"/>
          <w:szCs w:val="28"/>
        </w:rPr>
        <w:t>Where the circumstances of a proposed exchange are such that they are covered by the provisions of the Localism Act 2011</w:t>
      </w:r>
      <w:r w:rsidR="004C68A4">
        <w:rPr>
          <w:sz w:val="28"/>
          <w:szCs w:val="28"/>
        </w:rPr>
        <w:t>,</w:t>
      </w:r>
      <w:r w:rsidRPr="004F4DE5">
        <w:rPr>
          <w:sz w:val="28"/>
          <w:szCs w:val="28"/>
        </w:rPr>
        <w:t xml:space="preserve"> </w:t>
      </w:r>
      <w:r w:rsidRPr="004F4DE5">
        <w:rPr>
          <w:sz w:val="28"/>
          <w:szCs w:val="28"/>
        </w:rPr>
        <w:t xml:space="preserve">consideration will be given to the application in the same manner however with attention given to the differing grounds for refusal as set out in </w:t>
      </w:r>
      <w:r w:rsidRPr="004F4DE5">
        <w:rPr>
          <w:sz w:val="28"/>
          <w:szCs w:val="28"/>
        </w:rPr>
        <w:t>Schedule 14 of the Localism Act.</w:t>
      </w:r>
    </w:p>
    <w:p w:rsidR="004F4DE5" w:rsidRPr="004F4DE5" w:rsidRDefault="004F4DE5" w:rsidP="004F4DE5">
      <w:pPr>
        <w:ind w:right="-360"/>
        <w:rPr>
          <w:b/>
          <w:sz w:val="28"/>
          <w:szCs w:val="28"/>
        </w:rPr>
      </w:pPr>
      <w:r w:rsidRPr="004F4DE5">
        <w:rPr>
          <w:sz w:val="28"/>
          <w:szCs w:val="28"/>
        </w:rPr>
        <w:br/>
        <w:t>This applies where:</w:t>
      </w:r>
      <w:r w:rsidRPr="004F4DE5">
        <w:rPr>
          <w:sz w:val="28"/>
          <w:szCs w:val="28"/>
        </w:rPr>
        <w:br/>
      </w:r>
    </w:p>
    <w:p w:rsidR="004F4DE5" w:rsidRPr="004F4DE5" w:rsidRDefault="004F4DE5" w:rsidP="004F4DE5">
      <w:pPr>
        <w:numPr>
          <w:ilvl w:val="0"/>
          <w:numId w:val="21"/>
        </w:numPr>
        <w:ind w:right="-360"/>
        <w:rPr>
          <w:b/>
          <w:sz w:val="28"/>
          <w:szCs w:val="28"/>
        </w:rPr>
      </w:pPr>
      <w:r w:rsidRPr="004F4DE5">
        <w:rPr>
          <w:sz w:val="28"/>
          <w:szCs w:val="28"/>
        </w:rPr>
        <w:t>At least one of the tenant’s involved must have a periodic secure or assured tenancy (i.e. a lifetime tenancy, one that is not for a fixed term)</w:t>
      </w:r>
    </w:p>
    <w:p w:rsidR="004F4DE5" w:rsidRPr="004F4DE5" w:rsidRDefault="004F4DE5" w:rsidP="004F4DE5">
      <w:pPr>
        <w:ind w:left="1287" w:right="-360"/>
        <w:rPr>
          <w:b/>
          <w:sz w:val="28"/>
          <w:szCs w:val="28"/>
        </w:rPr>
      </w:pPr>
    </w:p>
    <w:p w:rsidR="004F4DE5" w:rsidRPr="004F4DE5" w:rsidRDefault="004F4DE5" w:rsidP="004F4DE5">
      <w:pPr>
        <w:numPr>
          <w:ilvl w:val="0"/>
          <w:numId w:val="21"/>
        </w:numPr>
        <w:ind w:right="-360"/>
        <w:rPr>
          <w:b/>
          <w:sz w:val="28"/>
          <w:szCs w:val="28"/>
        </w:rPr>
      </w:pPr>
      <w:r w:rsidRPr="004F4DE5">
        <w:rPr>
          <w:sz w:val="28"/>
          <w:szCs w:val="28"/>
        </w:rPr>
        <w:t>At least one must have a flexible tenancy (i.e. secure tenancy for a fixed term) or fixed term assured shorthold tenancy with a private registered provider of social housing</w:t>
      </w:r>
    </w:p>
    <w:p w:rsidR="004F4DE5" w:rsidRPr="004F4DE5" w:rsidRDefault="004F4DE5" w:rsidP="004F4DE5">
      <w:pPr>
        <w:pStyle w:val="ListParagraph"/>
        <w:rPr>
          <w:b/>
          <w:sz w:val="28"/>
          <w:szCs w:val="28"/>
        </w:rPr>
      </w:pPr>
    </w:p>
    <w:p w:rsidR="004F4DE5" w:rsidRPr="004F4DE5" w:rsidRDefault="004F4DE5" w:rsidP="004F4DE5">
      <w:pPr>
        <w:numPr>
          <w:ilvl w:val="0"/>
          <w:numId w:val="21"/>
        </w:numPr>
        <w:ind w:right="-360"/>
        <w:rPr>
          <w:b/>
          <w:sz w:val="28"/>
          <w:szCs w:val="28"/>
        </w:rPr>
      </w:pPr>
      <w:r w:rsidRPr="004F4DE5">
        <w:rPr>
          <w:sz w:val="28"/>
          <w:szCs w:val="28"/>
        </w:rPr>
        <w:t>At least one of the tenants with the periodic secure or assured tenancy must have a tenancy which started before this provision of the Act came into force</w:t>
      </w:r>
      <w:r w:rsidRPr="004F4DE5">
        <w:rPr>
          <w:sz w:val="28"/>
          <w:szCs w:val="28"/>
        </w:rPr>
        <w:t xml:space="preserve"> on the </w:t>
      </w:r>
      <w:r w:rsidRPr="004F4DE5">
        <w:rPr>
          <w:sz w:val="28"/>
          <w:szCs w:val="28"/>
        </w:rPr>
        <w:t>1</w:t>
      </w:r>
      <w:r w:rsidRPr="004F4DE5">
        <w:rPr>
          <w:sz w:val="28"/>
          <w:szCs w:val="28"/>
          <w:vertAlign w:val="superscript"/>
        </w:rPr>
        <w:t>st</w:t>
      </w:r>
      <w:r w:rsidRPr="004F4DE5">
        <w:rPr>
          <w:sz w:val="28"/>
          <w:szCs w:val="28"/>
        </w:rPr>
        <w:t xml:space="preserve"> April 2012</w:t>
      </w:r>
    </w:p>
    <w:p w:rsidR="00E62CBA" w:rsidRPr="00E62CBA" w:rsidRDefault="00E62CBA" w:rsidP="00E62CBA">
      <w:pPr>
        <w:autoSpaceDE w:val="0"/>
        <w:autoSpaceDN w:val="0"/>
        <w:adjustRightInd w:val="0"/>
        <w:rPr>
          <w:rFonts w:eastAsiaTheme="minorHAnsi" w:cs="Arial"/>
          <w:color w:val="000000"/>
          <w:sz w:val="28"/>
          <w:szCs w:val="28"/>
        </w:rPr>
      </w:pPr>
    </w:p>
    <w:p w:rsidR="00E62CBA" w:rsidRPr="00E62CBA" w:rsidRDefault="00E62CBA" w:rsidP="00E62CBA">
      <w:pPr>
        <w:autoSpaceDE w:val="0"/>
        <w:autoSpaceDN w:val="0"/>
        <w:adjustRightInd w:val="0"/>
        <w:rPr>
          <w:rFonts w:eastAsiaTheme="minorHAnsi" w:cs="Arial"/>
          <w:b/>
          <w:color w:val="000000"/>
          <w:sz w:val="28"/>
          <w:szCs w:val="28"/>
        </w:rPr>
      </w:pPr>
      <w:r w:rsidRPr="00E62CBA">
        <w:rPr>
          <w:rFonts w:eastAsiaTheme="minorHAnsi" w:cs="Arial"/>
          <w:b/>
          <w:color w:val="000000"/>
          <w:sz w:val="28"/>
          <w:szCs w:val="28"/>
        </w:rPr>
        <w:t>Investigation Process</w:t>
      </w:r>
    </w:p>
    <w:p w:rsidR="00E62CBA" w:rsidRPr="00E62CBA" w:rsidRDefault="00E62CBA" w:rsidP="00E62CBA">
      <w:pPr>
        <w:autoSpaceDE w:val="0"/>
        <w:autoSpaceDN w:val="0"/>
        <w:adjustRightInd w:val="0"/>
        <w:rPr>
          <w:rFonts w:eastAsiaTheme="minorHAnsi" w:cs="Arial"/>
          <w:b/>
          <w:color w:val="000000"/>
          <w:sz w:val="28"/>
          <w:szCs w:val="28"/>
        </w:rPr>
      </w:pPr>
    </w:p>
    <w:p w:rsidR="004C68A4" w:rsidRDefault="00937A90" w:rsidP="004F4DE5">
      <w:pPr>
        <w:pStyle w:val="Default"/>
        <w:rPr>
          <w:sz w:val="28"/>
          <w:szCs w:val="28"/>
        </w:rPr>
      </w:pPr>
      <w:r w:rsidRPr="004F4DE5">
        <w:rPr>
          <w:sz w:val="28"/>
          <w:szCs w:val="28"/>
        </w:rPr>
        <w:t>During th</w:t>
      </w:r>
      <w:r w:rsidR="004C68A4">
        <w:rPr>
          <w:sz w:val="28"/>
          <w:szCs w:val="28"/>
        </w:rPr>
        <w:t xml:space="preserve">e initial </w:t>
      </w:r>
      <w:r w:rsidRPr="004F4DE5">
        <w:rPr>
          <w:sz w:val="28"/>
          <w:szCs w:val="28"/>
        </w:rPr>
        <w:t>process</w:t>
      </w:r>
      <w:r w:rsidR="004C68A4">
        <w:rPr>
          <w:sz w:val="28"/>
          <w:szCs w:val="28"/>
        </w:rPr>
        <w:t>,</w:t>
      </w:r>
      <w:r w:rsidRPr="004F4DE5">
        <w:rPr>
          <w:sz w:val="28"/>
          <w:szCs w:val="28"/>
        </w:rPr>
        <w:t xml:space="preserve"> </w:t>
      </w:r>
      <w:r w:rsidR="004F4DE5" w:rsidRPr="004F4DE5">
        <w:rPr>
          <w:sz w:val="28"/>
          <w:szCs w:val="28"/>
        </w:rPr>
        <w:t xml:space="preserve">an inspection </w:t>
      </w:r>
      <w:r w:rsidR="004C68A4">
        <w:rPr>
          <w:sz w:val="28"/>
          <w:szCs w:val="28"/>
        </w:rPr>
        <w:t xml:space="preserve">of the property </w:t>
      </w:r>
      <w:r w:rsidR="004F4DE5" w:rsidRPr="004F4DE5">
        <w:rPr>
          <w:sz w:val="28"/>
          <w:szCs w:val="28"/>
        </w:rPr>
        <w:t>is carried out by an Area Proper</w:t>
      </w:r>
      <w:r w:rsidR="004C68A4">
        <w:rPr>
          <w:sz w:val="28"/>
          <w:szCs w:val="28"/>
        </w:rPr>
        <w:t>t</w:t>
      </w:r>
      <w:r w:rsidR="004F4DE5" w:rsidRPr="004F4DE5">
        <w:rPr>
          <w:sz w:val="28"/>
          <w:szCs w:val="28"/>
        </w:rPr>
        <w:t xml:space="preserve">y Surveyor.  </w:t>
      </w:r>
      <w:r w:rsidR="004F4DE5" w:rsidRPr="004F4DE5">
        <w:rPr>
          <w:sz w:val="28"/>
          <w:szCs w:val="28"/>
        </w:rPr>
        <w:t>If the mutual exchange request involves tenants of another landlord, as well as W</w:t>
      </w:r>
      <w:r w:rsidR="004F4DE5" w:rsidRPr="004F4DE5">
        <w:rPr>
          <w:sz w:val="28"/>
          <w:szCs w:val="28"/>
        </w:rPr>
        <w:t xml:space="preserve">inchester City Council </w:t>
      </w:r>
      <w:r w:rsidR="004F4DE5" w:rsidRPr="004F4DE5">
        <w:rPr>
          <w:sz w:val="28"/>
          <w:szCs w:val="28"/>
        </w:rPr>
        <w:t xml:space="preserve">tenants, the Tenancy Housing Officer should complete </w:t>
      </w:r>
      <w:r w:rsidR="004F4DE5" w:rsidRPr="004C68A4">
        <w:rPr>
          <w:sz w:val="28"/>
          <w:szCs w:val="28"/>
        </w:rPr>
        <w:t xml:space="preserve">a </w:t>
      </w:r>
      <w:r w:rsidR="004F4DE5" w:rsidRPr="004F4DE5">
        <w:rPr>
          <w:sz w:val="28"/>
          <w:szCs w:val="28"/>
        </w:rPr>
        <w:t xml:space="preserve">tenancy reference </w:t>
      </w:r>
      <w:r w:rsidR="004F4DE5" w:rsidRPr="004C68A4">
        <w:rPr>
          <w:sz w:val="28"/>
          <w:szCs w:val="28"/>
        </w:rPr>
        <w:t>for other l</w:t>
      </w:r>
      <w:r w:rsidR="004F4DE5" w:rsidRPr="004F4DE5">
        <w:rPr>
          <w:sz w:val="28"/>
          <w:szCs w:val="28"/>
        </w:rPr>
        <w:t>andlord</w:t>
      </w:r>
      <w:r w:rsidR="004F4DE5" w:rsidRPr="004C68A4">
        <w:rPr>
          <w:sz w:val="28"/>
          <w:szCs w:val="28"/>
        </w:rPr>
        <w:t xml:space="preserve">. </w:t>
      </w:r>
      <w:r w:rsidR="004C68A4">
        <w:rPr>
          <w:sz w:val="28"/>
          <w:szCs w:val="28"/>
        </w:rPr>
        <w:t xml:space="preserve">This will take into account thorough checks to ensure the current tenancy has been conducted satisfactory. </w:t>
      </w:r>
    </w:p>
    <w:p w:rsidR="004C68A4" w:rsidRDefault="004C68A4" w:rsidP="004F4DE5">
      <w:pPr>
        <w:pStyle w:val="Default"/>
        <w:rPr>
          <w:sz w:val="28"/>
          <w:szCs w:val="28"/>
        </w:rPr>
      </w:pPr>
    </w:p>
    <w:p w:rsidR="004C68A4" w:rsidRPr="004F4DE5" w:rsidRDefault="004C68A4" w:rsidP="004C68A4">
      <w:pPr>
        <w:pStyle w:val="Default"/>
        <w:rPr>
          <w:sz w:val="28"/>
          <w:szCs w:val="28"/>
        </w:rPr>
      </w:pPr>
      <w:r w:rsidRPr="004F4DE5">
        <w:rPr>
          <w:sz w:val="28"/>
          <w:szCs w:val="28"/>
        </w:rPr>
        <w:t xml:space="preserve">If the Tenancy Team refuses an application then it must give the tenant notice of the refusal with the reason (grounds and particulars) within 42 days or 6 weeks of the date that the application is received.  </w:t>
      </w:r>
    </w:p>
    <w:p w:rsidR="004C68A4" w:rsidRDefault="004C68A4" w:rsidP="004F4DE5">
      <w:pPr>
        <w:pStyle w:val="Default"/>
        <w:rPr>
          <w:sz w:val="28"/>
          <w:szCs w:val="28"/>
        </w:rPr>
      </w:pPr>
    </w:p>
    <w:p w:rsidR="004F4DE5" w:rsidRPr="004F4DE5" w:rsidRDefault="004C68A4" w:rsidP="004F4DE5">
      <w:pPr>
        <w:pStyle w:val="Default"/>
        <w:rPr>
          <w:sz w:val="28"/>
          <w:szCs w:val="28"/>
        </w:rPr>
      </w:pPr>
      <w:r>
        <w:rPr>
          <w:sz w:val="28"/>
          <w:szCs w:val="28"/>
        </w:rPr>
        <w:t xml:space="preserve">It is important to </w:t>
      </w:r>
      <w:r w:rsidRPr="004C68A4">
        <w:rPr>
          <w:sz w:val="28"/>
          <w:szCs w:val="28"/>
          <w:lang w:val="en"/>
        </w:rPr>
        <w:t>remember</w:t>
      </w:r>
      <w:r w:rsidRPr="004C68A4">
        <w:rPr>
          <w:sz w:val="28"/>
          <w:szCs w:val="28"/>
          <w:lang w:val="en"/>
        </w:rPr>
        <w:t xml:space="preserve"> </w:t>
      </w:r>
      <w:r>
        <w:rPr>
          <w:sz w:val="28"/>
          <w:szCs w:val="28"/>
          <w:lang w:val="en"/>
        </w:rPr>
        <w:t xml:space="preserve">that the </w:t>
      </w:r>
      <w:r w:rsidRPr="004C68A4">
        <w:rPr>
          <w:sz w:val="28"/>
          <w:szCs w:val="28"/>
          <w:lang w:val="en"/>
        </w:rPr>
        <w:t xml:space="preserve">landlord of </w:t>
      </w:r>
      <w:r>
        <w:rPr>
          <w:sz w:val="28"/>
          <w:szCs w:val="28"/>
          <w:lang w:val="en"/>
        </w:rPr>
        <w:t xml:space="preserve">the </w:t>
      </w:r>
      <w:r w:rsidRPr="004C68A4">
        <w:rPr>
          <w:sz w:val="28"/>
          <w:szCs w:val="28"/>
          <w:lang w:val="en"/>
        </w:rPr>
        <w:t>propert</w:t>
      </w:r>
      <w:r>
        <w:rPr>
          <w:sz w:val="28"/>
          <w:szCs w:val="28"/>
          <w:lang w:val="en"/>
        </w:rPr>
        <w:t xml:space="preserve">ies consider if the mutual exchange can go ahead.  Tenant’s must </w:t>
      </w:r>
      <w:r w:rsidRPr="004C68A4">
        <w:rPr>
          <w:sz w:val="28"/>
          <w:szCs w:val="28"/>
          <w:lang w:val="en"/>
        </w:rPr>
        <w:t xml:space="preserve">not swap properties without notifying </w:t>
      </w:r>
      <w:r>
        <w:rPr>
          <w:sz w:val="28"/>
          <w:szCs w:val="28"/>
          <w:lang w:val="en"/>
        </w:rPr>
        <w:t xml:space="preserve">the </w:t>
      </w:r>
      <w:r w:rsidRPr="004C68A4">
        <w:rPr>
          <w:sz w:val="28"/>
          <w:szCs w:val="28"/>
          <w:lang w:val="en"/>
        </w:rPr>
        <w:t>landlord, getting their permission and waiting until all the documentation has been completed</w:t>
      </w:r>
      <w:r>
        <w:rPr>
          <w:sz w:val="28"/>
          <w:szCs w:val="28"/>
          <w:lang w:val="en"/>
        </w:rPr>
        <w:t>.</w:t>
      </w:r>
    </w:p>
    <w:p w:rsidR="004F4DE5" w:rsidRPr="004F4DE5" w:rsidRDefault="004F4DE5" w:rsidP="00E62CBA">
      <w:pPr>
        <w:pStyle w:val="Default"/>
        <w:rPr>
          <w:sz w:val="28"/>
          <w:szCs w:val="28"/>
        </w:rPr>
      </w:pPr>
    </w:p>
    <w:p w:rsidR="00E62CBA" w:rsidRPr="00937A90" w:rsidRDefault="00E62CBA" w:rsidP="00415B7D">
      <w:pPr>
        <w:autoSpaceDE w:val="0"/>
        <w:autoSpaceDN w:val="0"/>
        <w:adjustRightInd w:val="0"/>
        <w:rPr>
          <w:rFonts w:eastAsiaTheme="minorHAnsi" w:cs="Arial"/>
          <w:b/>
          <w:color w:val="000000"/>
          <w:sz w:val="28"/>
          <w:szCs w:val="28"/>
        </w:rPr>
      </w:pPr>
      <w:r w:rsidRPr="00937A90">
        <w:rPr>
          <w:rFonts w:eastAsiaTheme="minorHAnsi" w:cs="Arial"/>
          <w:b/>
          <w:color w:val="000000"/>
          <w:sz w:val="28"/>
          <w:szCs w:val="28"/>
        </w:rPr>
        <w:t>Successful Mutual Exchange Requests</w:t>
      </w:r>
    </w:p>
    <w:p w:rsidR="00E62CBA" w:rsidRPr="00E62CBA" w:rsidRDefault="00E62CBA" w:rsidP="00E62CBA">
      <w:pPr>
        <w:autoSpaceDE w:val="0"/>
        <w:autoSpaceDN w:val="0"/>
        <w:adjustRightInd w:val="0"/>
        <w:rPr>
          <w:rFonts w:eastAsiaTheme="minorHAnsi" w:cs="Arial"/>
          <w:color w:val="000000"/>
          <w:sz w:val="28"/>
          <w:szCs w:val="28"/>
        </w:rPr>
      </w:pPr>
    </w:p>
    <w:p w:rsidR="00E62CBA" w:rsidRPr="00937A90" w:rsidRDefault="00E62CBA" w:rsidP="00E62CBA">
      <w:pPr>
        <w:autoSpaceDE w:val="0"/>
        <w:autoSpaceDN w:val="0"/>
        <w:adjustRightInd w:val="0"/>
        <w:rPr>
          <w:rFonts w:eastAsiaTheme="minorHAnsi" w:cs="Arial"/>
          <w:color w:val="000000"/>
          <w:sz w:val="28"/>
          <w:szCs w:val="28"/>
        </w:rPr>
      </w:pPr>
      <w:r w:rsidRPr="00E62CBA">
        <w:rPr>
          <w:rFonts w:eastAsiaTheme="minorHAnsi" w:cs="Arial"/>
          <w:color w:val="000000"/>
          <w:sz w:val="28"/>
          <w:szCs w:val="28"/>
        </w:rPr>
        <w:t>The exchange is completed by a deed of assignment signed by the incoming and outgoing tenant, and</w:t>
      </w:r>
      <w:r w:rsidRPr="00937A90">
        <w:rPr>
          <w:rFonts w:eastAsiaTheme="minorHAnsi" w:cs="Arial"/>
          <w:color w:val="000000"/>
          <w:sz w:val="28"/>
          <w:szCs w:val="28"/>
        </w:rPr>
        <w:t xml:space="preserve"> Winchester City Council </w:t>
      </w:r>
      <w:r w:rsidRPr="00E62CBA">
        <w:rPr>
          <w:rFonts w:eastAsiaTheme="minorHAnsi" w:cs="Arial"/>
          <w:color w:val="000000"/>
          <w:sz w:val="28"/>
          <w:szCs w:val="28"/>
        </w:rPr>
        <w:t xml:space="preserve">formally gives its consent in a licence to assign. The incoming tenant takes over the tenancy agreement of the outgoing tenant. </w:t>
      </w:r>
    </w:p>
    <w:sectPr w:rsidR="00E62CBA" w:rsidRPr="00937A90" w:rsidSect="007A6A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50" w:rsidRDefault="00C36F50" w:rsidP="00CC758B">
      <w:r>
        <w:separator/>
      </w:r>
    </w:p>
  </w:endnote>
  <w:endnote w:type="continuationSeparator" w:id="0">
    <w:p w:rsidR="00C36F50" w:rsidRDefault="00C36F50" w:rsidP="00CC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8B" w:rsidRDefault="004F4DE5">
    <w:pPr>
      <w:pStyle w:val="Footer"/>
    </w:pPr>
    <w:r>
      <w:t xml:space="preserve">Mutual Exchange </w:t>
    </w:r>
    <w:r w:rsidR="00CC758B">
      <w:t>Document</w:t>
    </w:r>
    <w:r w:rsidR="00CC758B">
      <w:tab/>
      <w:t xml:space="preser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50" w:rsidRDefault="00C36F50" w:rsidP="00CC758B">
      <w:r>
        <w:separator/>
      </w:r>
    </w:p>
  </w:footnote>
  <w:footnote w:type="continuationSeparator" w:id="0">
    <w:p w:rsidR="00C36F50" w:rsidRDefault="00C36F50" w:rsidP="00CC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17B"/>
    <w:multiLevelType w:val="hybridMultilevel"/>
    <w:tmpl w:val="42867A70"/>
    <w:lvl w:ilvl="0" w:tplc="75B06F06">
      <w:start w:val="1"/>
      <w:numFmt w:val="lowerLetter"/>
      <w:lvlText w:val="%1)"/>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2270605"/>
    <w:multiLevelType w:val="multilevel"/>
    <w:tmpl w:val="6E44B7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5E2154"/>
    <w:multiLevelType w:val="hybridMultilevel"/>
    <w:tmpl w:val="BD90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32C2A"/>
    <w:multiLevelType w:val="multilevel"/>
    <w:tmpl w:val="2820A4E0"/>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7495C5A"/>
    <w:multiLevelType w:val="hybridMultilevel"/>
    <w:tmpl w:val="C4C0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D6B2E"/>
    <w:multiLevelType w:val="hybridMultilevel"/>
    <w:tmpl w:val="04F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250AF"/>
    <w:multiLevelType w:val="hybridMultilevel"/>
    <w:tmpl w:val="283848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F345E8B"/>
    <w:multiLevelType w:val="multilevel"/>
    <w:tmpl w:val="A0D807C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700F66"/>
    <w:multiLevelType w:val="hybridMultilevel"/>
    <w:tmpl w:val="0D12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30D8C"/>
    <w:multiLevelType w:val="hybridMultilevel"/>
    <w:tmpl w:val="F0EE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215B2"/>
    <w:multiLevelType w:val="multilevel"/>
    <w:tmpl w:val="F69C7F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243768"/>
    <w:multiLevelType w:val="hybridMultilevel"/>
    <w:tmpl w:val="FBE64D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FCC4EA9"/>
    <w:multiLevelType w:val="multilevel"/>
    <w:tmpl w:val="E5E6576A"/>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4412"/>
    <w:multiLevelType w:val="hybridMultilevel"/>
    <w:tmpl w:val="4A14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826A2E"/>
    <w:multiLevelType w:val="hybridMultilevel"/>
    <w:tmpl w:val="D5F4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26451"/>
    <w:multiLevelType w:val="hybridMultilevel"/>
    <w:tmpl w:val="7E5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470DF5"/>
    <w:multiLevelType w:val="hybridMultilevel"/>
    <w:tmpl w:val="407647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2D51601"/>
    <w:multiLevelType w:val="hybridMultilevel"/>
    <w:tmpl w:val="9E7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0F0001"/>
    <w:multiLevelType w:val="hybridMultilevel"/>
    <w:tmpl w:val="9F30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335BFC"/>
    <w:multiLevelType w:val="multilevel"/>
    <w:tmpl w:val="1988FF3A"/>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7E671B01"/>
    <w:multiLevelType w:val="multilevel"/>
    <w:tmpl w:val="C00E5CF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9"/>
  </w:num>
  <w:num w:numId="3">
    <w:abstractNumId w:val="0"/>
  </w:num>
  <w:num w:numId="4">
    <w:abstractNumId w:val="11"/>
  </w:num>
  <w:num w:numId="5">
    <w:abstractNumId w:val="7"/>
  </w:num>
  <w:num w:numId="6">
    <w:abstractNumId w:val="20"/>
  </w:num>
  <w:num w:numId="7">
    <w:abstractNumId w:val="1"/>
  </w:num>
  <w:num w:numId="8">
    <w:abstractNumId w:val="10"/>
  </w:num>
  <w:num w:numId="9">
    <w:abstractNumId w:val="12"/>
  </w:num>
  <w:num w:numId="10">
    <w:abstractNumId w:val="5"/>
  </w:num>
  <w:num w:numId="11">
    <w:abstractNumId w:val="14"/>
  </w:num>
  <w:num w:numId="12">
    <w:abstractNumId w:val="17"/>
  </w:num>
  <w:num w:numId="13">
    <w:abstractNumId w:val="18"/>
  </w:num>
  <w:num w:numId="14">
    <w:abstractNumId w:val="8"/>
  </w:num>
  <w:num w:numId="15">
    <w:abstractNumId w:val="4"/>
  </w:num>
  <w:num w:numId="16">
    <w:abstractNumId w:val="13"/>
  </w:num>
  <w:num w:numId="17">
    <w:abstractNumId w:val="15"/>
  </w:num>
  <w:num w:numId="18">
    <w:abstractNumId w:val="2"/>
  </w:num>
  <w:num w:numId="19">
    <w:abstractNumId w:val="3"/>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C1"/>
    <w:rsid w:val="000A39C8"/>
    <w:rsid w:val="0018323B"/>
    <w:rsid w:val="00271DE3"/>
    <w:rsid w:val="002A5530"/>
    <w:rsid w:val="002C0F8F"/>
    <w:rsid w:val="00415B7D"/>
    <w:rsid w:val="004C68A4"/>
    <w:rsid w:val="004F4DE5"/>
    <w:rsid w:val="005014B0"/>
    <w:rsid w:val="00666FAD"/>
    <w:rsid w:val="00737FED"/>
    <w:rsid w:val="007A6A30"/>
    <w:rsid w:val="008049C1"/>
    <w:rsid w:val="00937A90"/>
    <w:rsid w:val="00A7343E"/>
    <w:rsid w:val="00AD59EF"/>
    <w:rsid w:val="00C36F50"/>
    <w:rsid w:val="00CC660C"/>
    <w:rsid w:val="00CC758B"/>
    <w:rsid w:val="00D81C8C"/>
    <w:rsid w:val="00E62CBA"/>
    <w:rsid w:val="00EB3B07"/>
    <w:rsid w:val="00F808BD"/>
    <w:rsid w:val="00F858B9"/>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9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7FED"/>
    <w:pPr>
      <w:ind w:left="720"/>
      <w:contextualSpacing/>
    </w:pPr>
  </w:style>
  <w:style w:type="paragraph" w:styleId="Header">
    <w:name w:val="header"/>
    <w:basedOn w:val="Normal"/>
    <w:link w:val="HeaderChar"/>
    <w:uiPriority w:val="99"/>
    <w:unhideWhenUsed/>
    <w:rsid w:val="00CC758B"/>
    <w:pPr>
      <w:tabs>
        <w:tab w:val="center" w:pos="4513"/>
        <w:tab w:val="right" w:pos="9026"/>
      </w:tabs>
    </w:pPr>
  </w:style>
  <w:style w:type="character" w:customStyle="1" w:styleId="HeaderChar">
    <w:name w:val="Header Char"/>
    <w:basedOn w:val="DefaultParagraphFont"/>
    <w:link w:val="Header"/>
    <w:uiPriority w:val="99"/>
    <w:rsid w:val="00CC758B"/>
    <w:rPr>
      <w:rFonts w:ascii="Arial" w:eastAsia="Times New Roman" w:hAnsi="Arial" w:cs="Times New Roman"/>
      <w:sz w:val="24"/>
      <w:szCs w:val="24"/>
    </w:rPr>
  </w:style>
  <w:style w:type="paragraph" w:styleId="Footer">
    <w:name w:val="footer"/>
    <w:basedOn w:val="Normal"/>
    <w:link w:val="FooterChar"/>
    <w:uiPriority w:val="99"/>
    <w:unhideWhenUsed/>
    <w:rsid w:val="00CC758B"/>
    <w:pPr>
      <w:tabs>
        <w:tab w:val="center" w:pos="4513"/>
        <w:tab w:val="right" w:pos="9026"/>
      </w:tabs>
    </w:pPr>
  </w:style>
  <w:style w:type="character" w:customStyle="1" w:styleId="FooterChar">
    <w:name w:val="Footer Char"/>
    <w:basedOn w:val="DefaultParagraphFont"/>
    <w:link w:val="Footer"/>
    <w:uiPriority w:val="99"/>
    <w:rsid w:val="00CC75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A6A30"/>
    <w:rPr>
      <w:rFonts w:ascii="Tahoma" w:hAnsi="Tahoma" w:cs="Tahoma"/>
      <w:sz w:val="16"/>
      <w:szCs w:val="16"/>
    </w:rPr>
  </w:style>
  <w:style w:type="character" w:customStyle="1" w:styleId="BalloonTextChar">
    <w:name w:val="Balloon Text Char"/>
    <w:basedOn w:val="DefaultParagraphFont"/>
    <w:link w:val="BalloonText"/>
    <w:uiPriority w:val="99"/>
    <w:semiHidden/>
    <w:rsid w:val="007A6A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9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7FED"/>
    <w:pPr>
      <w:ind w:left="720"/>
      <w:contextualSpacing/>
    </w:pPr>
  </w:style>
  <w:style w:type="paragraph" w:styleId="Header">
    <w:name w:val="header"/>
    <w:basedOn w:val="Normal"/>
    <w:link w:val="HeaderChar"/>
    <w:uiPriority w:val="99"/>
    <w:unhideWhenUsed/>
    <w:rsid w:val="00CC758B"/>
    <w:pPr>
      <w:tabs>
        <w:tab w:val="center" w:pos="4513"/>
        <w:tab w:val="right" w:pos="9026"/>
      </w:tabs>
    </w:pPr>
  </w:style>
  <w:style w:type="character" w:customStyle="1" w:styleId="HeaderChar">
    <w:name w:val="Header Char"/>
    <w:basedOn w:val="DefaultParagraphFont"/>
    <w:link w:val="Header"/>
    <w:uiPriority w:val="99"/>
    <w:rsid w:val="00CC758B"/>
    <w:rPr>
      <w:rFonts w:ascii="Arial" w:eastAsia="Times New Roman" w:hAnsi="Arial" w:cs="Times New Roman"/>
      <w:sz w:val="24"/>
      <w:szCs w:val="24"/>
    </w:rPr>
  </w:style>
  <w:style w:type="paragraph" w:styleId="Footer">
    <w:name w:val="footer"/>
    <w:basedOn w:val="Normal"/>
    <w:link w:val="FooterChar"/>
    <w:uiPriority w:val="99"/>
    <w:unhideWhenUsed/>
    <w:rsid w:val="00CC758B"/>
    <w:pPr>
      <w:tabs>
        <w:tab w:val="center" w:pos="4513"/>
        <w:tab w:val="right" w:pos="9026"/>
      </w:tabs>
    </w:pPr>
  </w:style>
  <w:style w:type="character" w:customStyle="1" w:styleId="FooterChar">
    <w:name w:val="Footer Char"/>
    <w:basedOn w:val="DefaultParagraphFont"/>
    <w:link w:val="Footer"/>
    <w:uiPriority w:val="99"/>
    <w:rsid w:val="00CC75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A6A30"/>
    <w:rPr>
      <w:rFonts w:ascii="Tahoma" w:hAnsi="Tahoma" w:cs="Tahoma"/>
      <w:sz w:val="16"/>
      <w:szCs w:val="16"/>
    </w:rPr>
  </w:style>
  <w:style w:type="character" w:customStyle="1" w:styleId="BalloonTextChar">
    <w:name w:val="Balloon Text Char"/>
    <w:basedOn w:val="DefaultParagraphFont"/>
    <w:link w:val="BalloonText"/>
    <w:uiPriority w:val="99"/>
    <w:semiHidden/>
    <w:rsid w:val="007A6A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54F4-B53A-44E8-8567-EF848C88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2</cp:revision>
  <cp:lastPrinted>2017-02-20T14:01:00Z</cp:lastPrinted>
  <dcterms:created xsi:type="dcterms:W3CDTF">2017-03-02T11:45:00Z</dcterms:created>
  <dcterms:modified xsi:type="dcterms:W3CDTF">2017-03-02T11:45:00Z</dcterms:modified>
</cp:coreProperties>
</file>