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09" w:rsidRPr="0028463A" w:rsidRDefault="00573109" w:rsidP="00573109">
      <w:pPr>
        <w:shd w:val="clear" w:color="auto" w:fill="FFFFFF"/>
        <w:spacing w:before="60" w:after="120" w:line="240" w:lineRule="auto"/>
        <w:outlineLvl w:val="1"/>
        <w:rPr>
          <w:rFonts w:ascii="Verdana" w:eastAsia="Times New Roman" w:hAnsi="Verdana" w:cs="Times New Roman"/>
          <w:color w:val="000000"/>
          <w:kern w:val="36"/>
          <w:sz w:val="28"/>
          <w:szCs w:val="28"/>
          <w:lang w:eastAsia="en-GB"/>
        </w:rPr>
      </w:pPr>
    </w:p>
    <w:p w:rsidR="00573109" w:rsidRPr="0028463A" w:rsidRDefault="00573109" w:rsidP="00573109">
      <w:pPr>
        <w:autoSpaceDE w:val="0"/>
        <w:autoSpaceDN w:val="0"/>
        <w:adjustRightInd w:val="0"/>
        <w:spacing w:after="0" w:line="240" w:lineRule="auto"/>
        <w:rPr>
          <w:rFonts w:ascii="Arial" w:hAnsi="Arial" w:cs="Arial"/>
          <w:sz w:val="28"/>
          <w:szCs w:val="28"/>
          <w:u w:val="single"/>
        </w:rPr>
      </w:pPr>
      <w:r w:rsidRPr="0028463A">
        <w:rPr>
          <w:rFonts w:ascii="Arial" w:hAnsi="Arial" w:cs="Arial"/>
          <w:b/>
          <w:bCs/>
          <w:sz w:val="28"/>
          <w:szCs w:val="28"/>
          <w:u w:val="single"/>
        </w:rPr>
        <w:t xml:space="preserve">JOINT TO SOLE POLICY AND PROCEDURE </w:t>
      </w:r>
    </w:p>
    <w:p w:rsidR="00573109" w:rsidRPr="0028463A" w:rsidRDefault="00573109" w:rsidP="00573109">
      <w:pPr>
        <w:autoSpaceDE w:val="0"/>
        <w:autoSpaceDN w:val="0"/>
        <w:adjustRightInd w:val="0"/>
        <w:spacing w:after="0" w:line="240" w:lineRule="auto"/>
        <w:rPr>
          <w:rFonts w:ascii="Arial" w:hAnsi="Arial" w:cs="Arial"/>
          <w:b/>
          <w:bCs/>
          <w:sz w:val="28"/>
          <w:szCs w:val="28"/>
        </w:rPr>
      </w:pPr>
    </w:p>
    <w:p w:rsidR="00573109" w:rsidRPr="0028463A" w:rsidRDefault="00573109" w:rsidP="00573109">
      <w:pPr>
        <w:autoSpaceDE w:val="0"/>
        <w:autoSpaceDN w:val="0"/>
        <w:adjustRightInd w:val="0"/>
        <w:spacing w:after="0" w:line="240" w:lineRule="auto"/>
        <w:rPr>
          <w:rFonts w:ascii="Arial" w:hAnsi="Arial" w:cs="Arial"/>
          <w:b/>
          <w:bCs/>
          <w:sz w:val="28"/>
          <w:szCs w:val="28"/>
        </w:rPr>
      </w:pPr>
      <w:r w:rsidRPr="0028463A">
        <w:rPr>
          <w:rFonts w:ascii="Arial" w:hAnsi="Arial" w:cs="Arial"/>
          <w:b/>
          <w:bCs/>
          <w:sz w:val="28"/>
          <w:szCs w:val="28"/>
        </w:rPr>
        <w:t xml:space="preserve">Aim of Policy and Procedure </w:t>
      </w:r>
    </w:p>
    <w:p w:rsidR="00573109" w:rsidRPr="0028463A" w:rsidRDefault="00573109" w:rsidP="00573109">
      <w:pPr>
        <w:autoSpaceDE w:val="0"/>
        <w:autoSpaceDN w:val="0"/>
        <w:adjustRightInd w:val="0"/>
        <w:spacing w:after="0" w:line="240" w:lineRule="auto"/>
        <w:rPr>
          <w:rFonts w:ascii="Arial" w:hAnsi="Arial" w:cs="Arial"/>
          <w:sz w:val="28"/>
          <w:szCs w:val="28"/>
        </w:rPr>
      </w:pPr>
    </w:p>
    <w:p w:rsidR="00573109" w:rsidRDefault="00573109" w:rsidP="00573109">
      <w:pPr>
        <w:spacing w:after="0" w:line="240" w:lineRule="auto"/>
        <w:rPr>
          <w:rFonts w:ascii="Arial" w:eastAsia="Times New Roman" w:hAnsi="Arial" w:cs="Times New Roman"/>
          <w:sz w:val="28"/>
          <w:szCs w:val="28"/>
        </w:rPr>
      </w:pPr>
      <w:r w:rsidRPr="0028463A">
        <w:rPr>
          <w:rFonts w:ascii="Arial" w:eastAsia="Times New Roman" w:hAnsi="Arial" w:cs="Times New Roman"/>
          <w:sz w:val="28"/>
          <w:szCs w:val="28"/>
        </w:rPr>
        <w:t>Winchester City Council’s Housing Services Department frequently receive requests from joint tenants for one party to remo</w:t>
      </w:r>
      <w:r>
        <w:rPr>
          <w:rFonts w:ascii="Arial" w:eastAsia="Times New Roman" w:hAnsi="Arial" w:cs="Times New Roman"/>
          <w:sz w:val="28"/>
          <w:szCs w:val="28"/>
        </w:rPr>
        <w:t>ve their name from the tenancy</w:t>
      </w:r>
      <w:r w:rsidR="00CF0B1F">
        <w:rPr>
          <w:rFonts w:ascii="Arial" w:eastAsia="Times New Roman" w:hAnsi="Arial" w:cs="Times New Roman"/>
          <w:sz w:val="28"/>
          <w:szCs w:val="28"/>
        </w:rPr>
        <w:t>.</w:t>
      </w:r>
    </w:p>
    <w:p w:rsidR="00573109" w:rsidRDefault="00573109" w:rsidP="00573109">
      <w:pPr>
        <w:spacing w:after="0" w:line="240" w:lineRule="auto"/>
        <w:rPr>
          <w:rFonts w:ascii="Arial" w:eastAsia="Times New Roman" w:hAnsi="Arial" w:cs="Times New Roman"/>
          <w:sz w:val="28"/>
          <w:szCs w:val="28"/>
        </w:rPr>
      </w:pPr>
    </w:p>
    <w:p w:rsidR="00A91127" w:rsidRDefault="00573109" w:rsidP="00573109">
      <w:pPr>
        <w:spacing w:after="0" w:line="240" w:lineRule="auto"/>
        <w:rPr>
          <w:rFonts w:ascii="Arial" w:eastAsia="Times New Roman" w:hAnsi="Arial" w:cs="Times New Roman"/>
          <w:sz w:val="28"/>
          <w:szCs w:val="28"/>
        </w:rPr>
      </w:pPr>
      <w:r>
        <w:rPr>
          <w:rFonts w:ascii="Arial" w:eastAsia="Times New Roman" w:hAnsi="Arial" w:cs="Times New Roman"/>
          <w:sz w:val="28"/>
          <w:szCs w:val="28"/>
        </w:rPr>
        <w:t>A</w:t>
      </w:r>
      <w:r w:rsidRPr="0028463A">
        <w:rPr>
          <w:rFonts w:ascii="Arial" w:eastAsia="Times New Roman" w:hAnsi="Arial" w:cs="Times New Roman"/>
          <w:sz w:val="28"/>
          <w:szCs w:val="28"/>
        </w:rPr>
        <w:t>ssigning the tenancy by deed of assignment, which can be done when a sole tenant wishes to assign their tenancy to a qualifying successor, is not appropriate for joint tenancies.  A joint tenancy can</w:t>
      </w:r>
      <w:r>
        <w:rPr>
          <w:rFonts w:ascii="Arial" w:eastAsia="Times New Roman" w:hAnsi="Arial" w:cs="Times New Roman"/>
          <w:sz w:val="28"/>
          <w:szCs w:val="28"/>
        </w:rPr>
        <w:t xml:space="preserve">not </w:t>
      </w:r>
      <w:r w:rsidRPr="0028463A">
        <w:rPr>
          <w:rFonts w:ascii="Arial" w:eastAsia="Times New Roman" w:hAnsi="Arial" w:cs="Times New Roman"/>
          <w:sz w:val="28"/>
          <w:szCs w:val="28"/>
        </w:rPr>
        <w:t xml:space="preserve">be assigned by deed to another joint tenant.  </w:t>
      </w:r>
    </w:p>
    <w:p w:rsidR="00A91127" w:rsidRDefault="00A91127" w:rsidP="00573109">
      <w:pPr>
        <w:spacing w:after="0" w:line="240" w:lineRule="auto"/>
        <w:rPr>
          <w:rFonts w:ascii="Arial" w:eastAsia="Times New Roman" w:hAnsi="Arial" w:cs="Times New Roman"/>
          <w:sz w:val="28"/>
          <w:szCs w:val="28"/>
        </w:rPr>
      </w:pPr>
    </w:p>
    <w:p w:rsidR="00573109" w:rsidRPr="0028463A" w:rsidRDefault="00573109" w:rsidP="00573109">
      <w:pPr>
        <w:spacing w:after="0" w:line="240" w:lineRule="auto"/>
        <w:rPr>
          <w:rFonts w:ascii="Arial" w:eastAsia="Times New Roman" w:hAnsi="Arial" w:cs="Times New Roman"/>
          <w:sz w:val="28"/>
          <w:szCs w:val="28"/>
        </w:rPr>
      </w:pPr>
      <w:r w:rsidRPr="0028463A">
        <w:rPr>
          <w:rFonts w:ascii="Arial" w:eastAsia="Times New Roman" w:hAnsi="Arial" w:cs="Times New Roman"/>
          <w:sz w:val="28"/>
          <w:szCs w:val="28"/>
        </w:rPr>
        <w:t>Each joint tenant already has rights to the joint tenancy and therefore is unable to assign rights to other joint tenants of the property.  If one of the joint tenants wants to surrender their interest in the joint tenancy, they may be able to seek a legal solution allowing them to do so.</w:t>
      </w:r>
    </w:p>
    <w:p w:rsidR="00573109" w:rsidRPr="0028463A" w:rsidRDefault="00573109" w:rsidP="00573109">
      <w:pPr>
        <w:autoSpaceDE w:val="0"/>
        <w:autoSpaceDN w:val="0"/>
        <w:adjustRightInd w:val="0"/>
        <w:spacing w:after="0" w:line="240" w:lineRule="auto"/>
        <w:rPr>
          <w:rFonts w:ascii="Arial" w:hAnsi="Arial" w:cs="Arial"/>
          <w:b/>
          <w:bCs/>
          <w:sz w:val="28"/>
          <w:szCs w:val="28"/>
        </w:rPr>
      </w:pPr>
    </w:p>
    <w:p w:rsidR="00573109" w:rsidRPr="0028463A" w:rsidRDefault="00573109" w:rsidP="00573109">
      <w:pPr>
        <w:autoSpaceDE w:val="0"/>
        <w:autoSpaceDN w:val="0"/>
        <w:adjustRightInd w:val="0"/>
        <w:spacing w:after="0" w:line="240" w:lineRule="auto"/>
        <w:rPr>
          <w:rFonts w:ascii="Arial" w:hAnsi="Arial" w:cs="Arial"/>
          <w:b/>
          <w:sz w:val="28"/>
          <w:szCs w:val="28"/>
        </w:rPr>
      </w:pPr>
      <w:r w:rsidRPr="0028463A">
        <w:rPr>
          <w:rFonts w:ascii="Arial" w:hAnsi="Arial" w:cs="Arial"/>
          <w:b/>
          <w:sz w:val="28"/>
          <w:szCs w:val="28"/>
        </w:rPr>
        <w:t>Investigation Process</w:t>
      </w:r>
    </w:p>
    <w:p w:rsidR="00573109" w:rsidRDefault="00573109" w:rsidP="00573109">
      <w:pPr>
        <w:spacing w:after="0" w:line="240" w:lineRule="auto"/>
        <w:rPr>
          <w:rFonts w:ascii="Arial" w:eastAsia="Times New Roman" w:hAnsi="Arial" w:cs="Times New Roman"/>
          <w:sz w:val="28"/>
          <w:szCs w:val="28"/>
        </w:rPr>
      </w:pPr>
    </w:p>
    <w:p w:rsidR="00573109" w:rsidRDefault="00CF0B1F" w:rsidP="00573109">
      <w:pPr>
        <w:autoSpaceDE w:val="0"/>
        <w:autoSpaceDN w:val="0"/>
        <w:adjustRightInd w:val="0"/>
        <w:spacing w:after="0" w:line="240" w:lineRule="auto"/>
        <w:rPr>
          <w:rFonts w:ascii="Arial" w:hAnsi="Arial" w:cs="Arial"/>
          <w:sz w:val="28"/>
          <w:szCs w:val="28"/>
        </w:rPr>
      </w:pPr>
      <w:r>
        <w:rPr>
          <w:rFonts w:ascii="Arial" w:eastAsia="Times New Roman" w:hAnsi="Arial" w:cs="Times New Roman"/>
          <w:sz w:val="28"/>
          <w:szCs w:val="28"/>
        </w:rPr>
        <w:t>J</w:t>
      </w:r>
      <w:r w:rsidR="00573109" w:rsidRPr="0028463A">
        <w:rPr>
          <w:rFonts w:ascii="Arial" w:eastAsia="Times New Roman" w:hAnsi="Arial" w:cs="Times New Roman"/>
          <w:sz w:val="28"/>
          <w:szCs w:val="28"/>
        </w:rPr>
        <w:t xml:space="preserve">oint tenants sign a legally binding contract </w:t>
      </w:r>
      <w:r>
        <w:rPr>
          <w:rFonts w:ascii="Arial" w:eastAsia="Times New Roman" w:hAnsi="Arial" w:cs="Times New Roman"/>
          <w:sz w:val="28"/>
          <w:szCs w:val="28"/>
        </w:rPr>
        <w:t xml:space="preserve">when a tenancy is created </w:t>
      </w:r>
      <w:r w:rsidR="00573109" w:rsidRPr="0028463A">
        <w:rPr>
          <w:rFonts w:ascii="Arial" w:eastAsia="Times New Roman" w:hAnsi="Arial" w:cs="Times New Roman"/>
          <w:sz w:val="28"/>
          <w:szCs w:val="28"/>
        </w:rPr>
        <w:t>and as such should pursue the appropriate legal process to surrender their interest in the tenancy.</w:t>
      </w:r>
    </w:p>
    <w:p w:rsidR="00573109" w:rsidRDefault="00573109" w:rsidP="00573109">
      <w:pPr>
        <w:autoSpaceDE w:val="0"/>
        <w:autoSpaceDN w:val="0"/>
        <w:adjustRightInd w:val="0"/>
        <w:spacing w:after="0" w:line="240" w:lineRule="auto"/>
        <w:rPr>
          <w:rFonts w:ascii="Arial" w:hAnsi="Arial" w:cs="Arial"/>
          <w:sz w:val="28"/>
          <w:szCs w:val="28"/>
        </w:rPr>
      </w:pPr>
    </w:p>
    <w:p w:rsidR="00573109" w:rsidRPr="0028463A" w:rsidRDefault="00573109" w:rsidP="00573109">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In exceptional circumstances when the joint tenants have explored legal remedies and a legal solution is not available or appropriate, then the joint to sole </w:t>
      </w:r>
      <w:r w:rsidRPr="0028463A">
        <w:rPr>
          <w:rFonts w:ascii="Arial" w:hAnsi="Arial" w:cs="Arial"/>
          <w:sz w:val="28"/>
          <w:szCs w:val="28"/>
        </w:rPr>
        <w:t>case</w:t>
      </w:r>
      <w:r>
        <w:rPr>
          <w:rFonts w:ascii="Arial" w:hAnsi="Arial" w:cs="Arial"/>
          <w:sz w:val="28"/>
          <w:szCs w:val="28"/>
        </w:rPr>
        <w:t xml:space="preserve"> will be dealt with </w:t>
      </w:r>
      <w:r w:rsidRPr="0028463A">
        <w:rPr>
          <w:rFonts w:ascii="Arial" w:hAnsi="Arial" w:cs="Arial"/>
          <w:sz w:val="28"/>
          <w:szCs w:val="28"/>
        </w:rPr>
        <w:t xml:space="preserve">by the Tenancy Housing Officer in a timely fashion, depending on what </w:t>
      </w:r>
      <w:r>
        <w:rPr>
          <w:rFonts w:ascii="Arial" w:hAnsi="Arial" w:cs="Arial"/>
          <w:sz w:val="28"/>
          <w:szCs w:val="28"/>
        </w:rPr>
        <w:t xml:space="preserve">information and </w:t>
      </w:r>
      <w:r w:rsidRPr="0028463A">
        <w:rPr>
          <w:rFonts w:ascii="Arial" w:hAnsi="Arial" w:cs="Arial"/>
          <w:sz w:val="28"/>
          <w:szCs w:val="28"/>
        </w:rPr>
        <w:t xml:space="preserve">evidence is required.  </w:t>
      </w:r>
      <w:r>
        <w:rPr>
          <w:rFonts w:ascii="Arial" w:hAnsi="Arial" w:cs="Arial"/>
          <w:sz w:val="28"/>
          <w:szCs w:val="28"/>
        </w:rPr>
        <w:t>T</w:t>
      </w:r>
      <w:r w:rsidRPr="0028463A">
        <w:rPr>
          <w:rFonts w:ascii="Arial" w:hAnsi="Arial" w:cs="Arial"/>
          <w:sz w:val="28"/>
          <w:szCs w:val="28"/>
        </w:rPr>
        <w:t xml:space="preserve">he Tenancy Housing Officer will aim to notify the outcome within 10 working days.  For some </w:t>
      </w:r>
      <w:r>
        <w:rPr>
          <w:rFonts w:ascii="Arial" w:hAnsi="Arial" w:cs="Arial"/>
          <w:sz w:val="28"/>
          <w:szCs w:val="28"/>
        </w:rPr>
        <w:t xml:space="preserve">more complex </w:t>
      </w:r>
      <w:r w:rsidRPr="0028463A">
        <w:rPr>
          <w:rFonts w:ascii="Arial" w:hAnsi="Arial" w:cs="Arial"/>
          <w:sz w:val="28"/>
          <w:szCs w:val="28"/>
        </w:rPr>
        <w:t>cases</w:t>
      </w:r>
      <w:r>
        <w:rPr>
          <w:rFonts w:ascii="Arial" w:hAnsi="Arial" w:cs="Arial"/>
          <w:sz w:val="28"/>
          <w:szCs w:val="28"/>
        </w:rPr>
        <w:t xml:space="preserve"> it may take longer to </w:t>
      </w:r>
      <w:r w:rsidRPr="0028463A">
        <w:rPr>
          <w:rFonts w:ascii="Arial" w:hAnsi="Arial" w:cs="Arial"/>
          <w:sz w:val="28"/>
          <w:szCs w:val="28"/>
        </w:rPr>
        <w:t>make a decision, however the applicant will be informed throughout the process.</w:t>
      </w:r>
    </w:p>
    <w:p w:rsidR="00573109" w:rsidRPr="00341D4F" w:rsidRDefault="00573109" w:rsidP="00573109">
      <w:pPr>
        <w:spacing w:after="0" w:line="240" w:lineRule="auto"/>
        <w:rPr>
          <w:rFonts w:ascii="Arial" w:eastAsia="Times New Roman" w:hAnsi="Arial" w:cs="Times New Roman"/>
          <w:sz w:val="28"/>
          <w:szCs w:val="28"/>
        </w:rPr>
      </w:pPr>
    </w:p>
    <w:p w:rsidR="00573109" w:rsidRPr="00341D4F" w:rsidRDefault="00573109" w:rsidP="00573109">
      <w:pPr>
        <w:spacing w:after="0" w:line="240" w:lineRule="auto"/>
        <w:rPr>
          <w:rFonts w:ascii="Arial" w:eastAsia="Times New Roman" w:hAnsi="Arial" w:cs="Times New Roman"/>
          <w:sz w:val="28"/>
          <w:szCs w:val="28"/>
        </w:rPr>
      </w:pPr>
      <w:r w:rsidRPr="00341D4F">
        <w:rPr>
          <w:rFonts w:ascii="Arial" w:eastAsia="Times New Roman" w:hAnsi="Arial" w:cs="Times New Roman"/>
          <w:sz w:val="28"/>
          <w:szCs w:val="28"/>
        </w:rPr>
        <w:t>Circumstances in which it may be appropriate to agree to a new sole tenancy include:</w:t>
      </w:r>
    </w:p>
    <w:p w:rsidR="00573109" w:rsidRPr="00341D4F" w:rsidRDefault="00573109" w:rsidP="00573109">
      <w:pPr>
        <w:spacing w:after="0" w:line="240" w:lineRule="auto"/>
        <w:rPr>
          <w:rFonts w:ascii="Arial" w:eastAsia="Times New Roman" w:hAnsi="Arial" w:cs="Times New Roman"/>
          <w:sz w:val="28"/>
          <w:szCs w:val="28"/>
        </w:rPr>
      </w:pPr>
    </w:p>
    <w:p w:rsidR="00573109" w:rsidRPr="00341D4F" w:rsidRDefault="00573109" w:rsidP="00573109">
      <w:pPr>
        <w:numPr>
          <w:ilvl w:val="2"/>
          <w:numId w:val="5"/>
        </w:numPr>
        <w:tabs>
          <w:tab w:val="clear" w:pos="360"/>
          <w:tab w:val="num" w:pos="720"/>
        </w:tabs>
        <w:spacing w:after="0" w:line="240" w:lineRule="auto"/>
        <w:ind w:left="720"/>
        <w:rPr>
          <w:rFonts w:ascii="Arial" w:eastAsia="Times New Roman" w:hAnsi="Arial" w:cs="Times New Roman"/>
          <w:sz w:val="28"/>
          <w:szCs w:val="28"/>
        </w:rPr>
      </w:pPr>
      <w:r w:rsidRPr="00341D4F">
        <w:rPr>
          <w:rFonts w:ascii="Arial" w:eastAsia="Times New Roman" w:hAnsi="Arial" w:cs="Times New Roman"/>
          <w:sz w:val="28"/>
          <w:szCs w:val="28"/>
        </w:rPr>
        <w:t xml:space="preserve">Domestic abuse </w:t>
      </w:r>
    </w:p>
    <w:p w:rsidR="00573109" w:rsidRPr="00341D4F" w:rsidRDefault="00573109" w:rsidP="00573109">
      <w:pPr>
        <w:spacing w:after="0" w:line="240" w:lineRule="auto"/>
        <w:ind w:left="360"/>
        <w:rPr>
          <w:rFonts w:ascii="Arial" w:eastAsia="Times New Roman" w:hAnsi="Arial" w:cs="Times New Roman"/>
          <w:sz w:val="28"/>
          <w:szCs w:val="28"/>
        </w:rPr>
      </w:pPr>
    </w:p>
    <w:p w:rsidR="00573109" w:rsidRPr="00341D4F" w:rsidRDefault="00573109" w:rsidP="00573109">
      <w:pPr>
        <w:numPr>
          <w:ilvl w:val="2"/>
          <w:numId w:val="5"/>
        </w:numPr>
        <w:tabs>
          <w:tab w:val="clear" w:pos="360"/>
          <w:tab w:val="num" w:pos="720"/>
        </w:tabs>
        <w:spacing w:after="0" w:line="240" w:lineRule="auto"/>
        <w:ind w:left="720"/>
        <w:rPr>
          <w:rFonts w:ascii="Arial" w:eastAsia="Times New Roman" w:hAnsi="Arial" w:cs="Times New Roman"/>
          <w:sz w:val="28"/>
          <w:szCs w:val="28"/>
        </w:rPr>
      </w:pPr>
      <w:r w:rsidRPr="00341D4F">
        <w:rPr>
          <w:rFonts w:ascii="Arial" w:eastAsia="Times New Roman" w:hAnsi="Arial" w:cs="Times New Roman"/>
          <w:sz w:val="28"/>
          <w:szCs w:val="28"/>
        </w:rPr>
        <w:t xml:space="preserve">If one of </w:t>
      </w:r>
      <w:r w:rsidR="007F3824">
        <w:rPr>
          <w:rFonts w:ascii="Arial" w:eastAsia="Times New Roman" w:hAnsi="Arial" w:cs="Times New Roman"/>
          <w:sz w:val="28"/>
          <w:szCs w:val="28"/>
        </w:rPr>
        <w:t xml:space="preserve">the </w:t>
      </w:r>
      <w:r w:rsidRPr="00341D4F">
        <w:rPr>
          <w:rFonts w:ascii="Arial" w:eastAsia="Times New Roman" w:hAnsi="Arial" w:cs="Times New Roman"/>
          <w:sz w:val="28"/>
          <w:szCs w:val="28"/>
        </w:rPr>
        <w:t>joint tenants left the property some time ago and the remaining joint tenant is unable to transfer or undertake a mutual exchange to overcome a particular need (for example, overcrowding)</w:t>
      </w:r>
    </w:p>
    <w:p w:rsidR="00573109" w:rsidRPr="00341D4F" w:rsidRDefault="00573109" w:rsidP="00573109">
      <w:pPr>
        <w:spacing w:after="0" w:line="240" w:lineRule="auto"/>
        <w:rPr>
          <w:rFonts w:ascii="Arial" w:eastAsia="Times New Roman" w:hAnsi="Arial" w:cs="Times New Roman"/>
          <w:sz w:val="28"/>
          <w:szCs w:val="28"/>
        </w:rPr>
      </w:pPr>
    </w:p>
    <w:p w:rsidR="00573109" w:rsidRPr="00341D4F" w:rsidRDefault="00573109" w:rsidP="00573109">
      <w:pPr>
        <w:numPr>
          <w:ilvl w:val="2"/>
          <w:numId w:val="5"/>
        </w:numPr>
        <w:tabs>
          <w:tab w:val="clear" w:pos="360"/>
          <w:tab w:val="num" w:pos="720"/>
        </w:tabs>
        <w:spacing w:after="0" w:line="240" w:lineRule="auto"/>
        <w:ind w:left="720"/>
        <w:rPr>
          <w:rFonts w:ascii="Arial" w:eastAsia="Times New Roman" w:hAnsi="Arial" w:cs="Times New Roman"/>
          <w:sz w:val="28"/>
          <w:szCs w:val="28"/>
        </w:rPr>
      </w:pPr>
      <w:r w:rsidRPr="00341D4F">
        <w:rPr>
          <w:rFonts w:ascii="Arial" w:eastAsia="Times New Roman" w:hAnsi="Arial" w:cs="Times New Roman"/>
          <w:sz w:val="28"/>
          <w:szCs w:val="28"/>
        </w:rPr>
        <w:t>If no legal remedy exists</w:t>
      </w:r>
    </w:p>
    <w:p w:rsidR="00573109" w:rsidRPr="00341D4F" w:rsidRDefault="00573109" w:rsidP="00573109">
      <w:pPr>
        <w:spacing w:after="0" w:line="240" w:lineRule="auto"/>
        <w:ind w:left="720"/>
        <w:rPr>
          <w:rFonts w:ascii="Arial" w:eastAsia="Times New Roman" w:hAnsi="Arial" w:cs="Times New Roman"/>
          <w:sz w:val="28"/>
          <w:szCs w:val="28"/>
        </w:rPr>
      </w:pPr>
    </w:p>
    <w:p w:rsidR="00573109" w:rsidRPr="00341D4F" w:rsidRDefault="00573109" w:rsidP="00573109">
      <w:pPr>
        <w:numPr>
          <w:ilvl w:val="2"/>
          <w:numId w:val="5"/>
        </w:numPr>
        <w:tabs>
          <w:tab w:val="clear" w:pos="360"/>
          <w:tab w:val="num" w:pos="720"/>
        </w:tabs>
        <w:spacing w:after="0" w:line="240" w:lineRule="auto"/>
        <w:ind w:left="720"/>
        <w:rPr>
          <w:rFonts w:ascii="Arial" w:eastAsia="Times New Roman" w:hAnsi="Arial" w:cs="Times New Roman"/>
          <w:sz w:val="28"/>
          <w:szCs w:val="28"/>
        </w:rPr>
      </w:pPr>
      <w:r w:rsidRPr="00341D4F">
        <w:rPr>
          <w:rFonts w:ascii="Arial" w:eastAsia="Times New Roman" w:hAnsi="Arial" w:cs="Times New Roman"/>
          <w:sz w:val="28"/>
          <w:szCs w:val="28"/>
        </w:rPr>
        <w:t>Other extenuating circumstances exist that would justify granting a new sole tenancy, for example, vulnerability of the tenant/s</w:t>
      </w:r>
    </w:p>
    <w:p w:rsidR="00573109" w:rsidRPr="00341D4F" w:rsidRDefault="00573109" w:rsidP="00573109">
      <w:pPr>
        <w:spacing w:after="0" w:line="240" w:lineRule="auto"/>
        <w:rPr>
          <w:rFonts w:ascii="Arial" w:hAnsi="Arial" w:cs="Arial"/>
          <w:b/>
          <w:bCs/>
          <w:sz w:val="28"/>
          <w:szCs w:val="28"/>
        </w:rPr>
      </w:pPr>
    </w:p>
    <w:p w:rsidR="00573109" w:rsidRPr="00341D4F" w:rsidRDefault="00573109" w:rsidP="00573109">
      <w:pPr>
        <w:spacing w:after="0" w:line="240" w:lineRule="auto"/>
        <w:rPr>
          <w:rFonts w:ascii="Arial" w:eastAsia="Times New Roman" w:hAnsi="Arial" w:cs="Times New Roman"/>
          <w:b/>
          <w:sz w:val="28"/>
          <w:szCs w:val="28"/>
        </w:rPr>
      </w:pPr>
      <w:r w:rsidRPr="00341D4F">
        <w:rPr>
          <w:rFonts w:ascii="Arial" w:eastAsia="Times New Roman" w:hAnsi="Arial" w:cs="Times New Roman"/>
          <w:b/>
          <w:sz w:val="28"/>
          <w:szCs w:val="28"/>
        </w:rPr>
        <w:t>If the whereabouts of one of the joint tenants is not known</w:t>
      </w:r>
    </w:p>
    <w:p w:rsidR="00573109" w:rsidRPr="00341D4F" w:rsidRDefault="00573109" w:rsidP="00573109">
      <w:pPr>
        <w:spacing w:after="0" w:line="240" w:lineRule="auto"/>
        <w:rPr>
          <w:rFonts w:ascii="Arial" w:eastAsia="Times New Roman" w:hAnsi="Arial" w:cs="Times New Roman"/>
          <w:b/>
          <w:sz w:val="28"/>
          <w:szCs w:val="28"/>
        </w:rPr>
      </w:pPr>
    </w:p>
    <w:p w:rsidR="00573109" w:rsidRPr="00341D4F" w:rsidRDefault="00573109" w:rsidP="00573109">
      <w:pPr>
        <w:spacing w:after="0" w:line="240" w:lineRule="auto"/>
        <w:rPr>
          <w:rFonts w:ascii="Arial" w:eastAsia="Times New Roman" w:hAnsi="Arial" w:cs="Times New Roman"/>
          <w:sz w:val="28"/>
          <w:szCs w:val="28"/>
        </w:rPr>
      </w:pPr>
      <w:r w:rsidRPr="00341D4F">
        <w:rPr>
          <w:rFonts w:ascii="Arial" w:eastAsia="Times New Roman" w:hAnsi="Arial" w:cs="Times New Roman"/>
          <w:sz w:val="28"/>
          <w:szCs w:val="28"/>
        </w:rPr>
        <w:t>If a request</w:t>
      </w:r>
      <w:r>
        <w:rPr>
          <w:rFonts w:ascii="Arial" w:eastAsia="Times New Roman" w:hAnsi="Arial" w:cs="Times New Roman"/>
          <w:sz w:val="28"/>
          <w:szCs w:val="28"/>
        </w:rPr>
        <w:t xml:space="preserve"> has been received</w:t>
      </w:r>
      <w:r w:rsidRPr="00341D4F">
        <w:rPr>
          <w:rFonts w:ascii="Arial" w:eastAsia="Times New Roman" w:hAnsi="Arial" w:cs="Times New Roman"/>
          <w:sz w:val="28"/>
          <w:szCs w:val="28"/>
        </w:rPr>
        <w:t xml:space="preserve"> to remove a tenant’s name from a joint tenant </w:t>
      </w:r>
      <w:r>
        <w:rPr>
          <w:rFonts w:ascii="Arial" w:eastAsia="Times New Roman" w:hAnsi="Arial" w:cs="Times New Roman"/>
          <w:sz w:val="28"/>
          <w:szCs w:val="28"/>
        </w:rPr>
        <w:t xml:space="preserve">but the tenant does not </w:t>
      </w:r>
      <w:r w:rsidRPr="00341D4F">
        <w:rPr>
          <w:rFonts w:ascii="Arial" w:eastAsia="Times New Roman" w:hAnsi="Arial" w:cs="Times New Roman"/>
          <w:sz w:val="28"/>
          <w:szCs w:val="28"/>
        </w:rPr>
        <w:t xml:space="preserve">know the whereabouts of the other joint tenant, the </w:t>
      </w:r>
      <w:r>
        <w:rPr>
          <w:rFonts w:ascii="Arial" w:eastAsia="Times New Roman" w:hAnsi="Arial" w:cs="Times New Roman"/>
          <w:sz w:val="28"/>
          <w:szCs w:val="28"/>
        </w:rPr>
        <w:t xml:space="preserve">Tenancy Housing Officer </w:t>
      </w:r>
      <w:r w:rsidRPr="00341D4F">
        <w:rPr>
          <w:rFonts w:ascii="Arial" w:eastAsia="Times New Roman" w:hAnsi="Arial" w:cs="Times New Roman"/>
          <w:sz w:val="28"/>
          <w:szCs w:val="28"/>
        </w:rPr>
        <w:t xml:space="preserve">should </w:t>
      </w:r>
      <w:r>
        <w:rPr>
          <w:rFonts w:ascii="Arial" w:eastAsia="Times New Roman" w:hAnsi="Arial" w:cs="Times New Roman"/>
          <w:sz w:val="28"/>
          <w:szCs w:val="28"/>
        </w:rPr>
        <w:t xml:space="preserve">check that </w:t>
      </w:r>
      <w:r w:rsidRPr="00341D4F">
        <w:rPr>
          <w:rFonts w:ascii="Arial" w:eastAsia="Times New Roman" w:hAnsi="Arial" w:cs="Times New Roman"/>
          <w:sz w:val="28"/>
          <w:szCs w:val="28"/>
        </w:rPr>
        <w:t xml:space="preserve">the tenant </w:t>
      </w:r>
      <w:r>
        <w:rPr>
          <w:rFonts w:ascii="Arial" w:eastAsia="Times New Roman" w:hAnsi="Arial" w:cs="Times New Roman"/>
          <w:sz w:val="28"/>
          <w:szCs w:val="28"/>
        </w:rPr>
        <w:t>h</w:t>
      </w:r>
      <w:r w:rsidRPr="00341D4F">
        <w:rPr>
          <w:rFonts w:ascii="Arial" w:eastAsia="Times New Roman" w:hAnsi="Arial" w:cs="Times New Roman"/>
          <w:sz w:val="28"/>
          <w:szCs w:val="28"/>
        </w:rPr>
        <w:t>as pursued all possible routes to find the ‘absent’ tenant, including:</w:t>
      </w:r>
    </w:p>
    <w:p w:rsidR="00573109" w:rsidRPr="00341D4F" w:rsidRDefault="00573109" w:rsidP="00573109">
      <w:pPr>
        <w:spacing w:after="0" w:line="240" w:lineRule="auto"/>
        <w:ind w:left="-360"/>
        <w:rPr>
          <w:rFonts w:ascii="Arial" w:eastAsia="Times New Roman" w:hAnsi="Arial" w:cs="Times New Roman"/>
          <w:sz w:val="28"/>
          <w:szCs w:val="28"/>
        </w:rPr>
      </w:pPr>
    </w:p>
    <w:p w:rsidR="00573109" w:rsidRDefault="00573109" w:rsidP="00573109">
      <w:pPr>
        <w:numPr>
          <w:ilvl w:val="1"/>
          <w:numId w:val="7"/>
        </w:numPr>
        <w:tabs>
          <w:tab w:val="num" w:pos="1080"/>
        </w:tabs>
        <w:spacing w:after="0" w:line="240" w:lineRule="auto"/>
        <w:ind w:left="360" w:firstLine="360"/>
        <w:rPr>
          <w:rFonts w:ascii="Arial" w:eastAsia="Times New Roman" w:hAnsi="Arial" w:cs="Times New Roman"/>
          <w:sz w:val="28"/>
          <w:szCs w:val="28"/>
        </w:rPr>
      </w:pPr>
      <w:r w:rsidRPr="00341D4F">
        <w:rPr>
          <w:rFonts w:ascii="Arial" w:eastAsia="Times New Roman" w:hAnsi="Arial" w:cs="Times New Roman"/>
          <w:sz w:val="28"/>
          <w:szCs w:val="28"/>
        </w:rPr>
        <w:t>Telephoning him/her on all mobile and landline numbers</w:t>
      </w:r>
    </w:p>
    <w:p w:rsidR="00573109" w:rsidRPr="00341D4F" w:rsidRDefault="00573109" w:rsidP="00573109">
      <w:pPr>
        <w:spacing w:after="0" w:line="240" w:lineRule="auto"/>
        <w:rPr>
          <w:rFonts w:ascii="Arial" w:eastAsia="Times New Roman" w:hAnsi="Arial" w:cs="Times New Roman"/>
          <w:sz w:val="28"/>
          <w:szCs w:val="28"/>
        </w:rPr>
      </w:pPr>
    </w:p>
    <w:p w:rsidR="00573109" w:rsidRDefault="00573109" w:rsidP="00573109">
      <w:pPr>
        <w:numPr>
          <w:ilvl w:val="1"/>
          <w:numId w:val="7"/>
        </w:numPr>
        <w:tabs>
          <w:tab w:val="num" w:pos="1080"/>
        </w:tabs>
        <w:spacing w:after="0" w:line="240" w:lineRule="auto"/>
        <w:ind w:left="360" w:firstLine="360"/>
        <w:rPr>
          <w:rFonts w:ascii="Arial" w:eastAsia="Times New Roman" w:hAnsi="Arial" w:cs="Times New Roman"/>
          <w:sz w:val="28"/>
          <w:szCs w:val="28"/>
        </w:rPr>
      </w:pPr>
      <w:r w:rsidRPr="00341D4F">
        <w:rPr>
          <w:rFonts w:ascii="Arial" w:eastAsia="Times New Roman" w:hAnsi="Arial" w:cs="Times New Roman"/>
          <w:sz w:val="28"/>
          <w:szCs w:val="28"/>
        </w:rPr>
        <w:t>Contacting his/her family, friends and acquaintances</w:t>
      </w:r>
    </w:p>
    <w:p w:rsidR="007F3824" w:rsidRDefault="007F3824" w:rsidP="007F3824">
      <w:pPr>
        <w:pStyle w:val="ListParagraph"/>
        <w:rPr>
          <w:rFonts w:ascii="Arial" w:eastAsia="Times New Roman" w:hAnsi="Arial" w:cs="Times New Roman"/>
          <w:sz w:val="28"/>
          <w:szCs w:val="28"/>
        </w:rPr>
      </w:pPr>
    </w:p>
    <w:p w:rsidR="00573109" w:rsidRDefault="00573109" w:rsidP="00573109">
      <w:pPr>
        <w:numPr>
          <w:ilvl w:val="1"/>
          <w:numId w:val="7"/>
        </w:numPr>
        <w:tabs>
          <w:tab w:val="num" w:pos="1080"/>
        </w:tabs>
        <w:spacing w:after="0" w:line="240" w:lineRule="auto"/>
        <w:ind w:left="1080"/>
        <w:rPr>
          <w:rFonts w:ascii="Arial" w:eastAsia="Times New Roman" w:hAnsi="Arial" w:cs="Times New Roman"/>
          <w:sz w:val="28"/>
          <w:szCs w:val="28"/>
        </w:rPr>
      </w:pPr>
      <w:r w:rsidRPr="00341D4F">
        <w:rPr>
          <w:rFonts w:ascii="Arial" w:eastAsia="Times New Roman" w:hAnsi="Arial" w:cs="Times New Roman"/>
          <w:sz w:val="28"/>
          <w:szCs w:val="28"/>
        </w:rPr>
        <w:t>Contacting current and previous employers</w:t>
      </w:r>
    </w:p>
    <w:p w:rsidR="00573109" w:rsidRDefault="00573109" w:rsidP="00573109">
      <w:pPr>
        <w:pStyle w:val="ListParagraph"/>
        <w:rPr>
          <w:rFonts w:ascii="Arial" w:eastAsia="Times New Roman" w:hAnsi="Arial" w:cs="Times New Roman"/>
          <w:sz w:val="28"/>
          <w:szCs w:val="28"/>
        </w:rPr>
      </w:pPr>
    </w:p>
    <w:p w:rsidR="00573109" w:rsidRPr="00682994" w:rsidRDefault="00573109" w:rsidP="00573109">
      <w:pPr>
        <w:numPr>
          <w:ilvl w:val="1"/>
          <w:numId w:val="7"/>
        </w:numPr>
        <w:tabs>
          <w:tab w:val="num" w:pos="1080"/>
        </w:tabs>
        <w:spacing w:after="0" w:line="240" w:lineRule="auto"/>
        <w:ind w:left="1080"/>
        <w:rPr>
          <w:rFonts w:ascii="Arial" w:eastAsia="Times New Roman" w:hAnsi="Arial" w:cs="Times New Roman"/>
          <w:sz w:val="28"/>
          <w:szCs w:val="28"/>
        </w:rPr>
      </w:pPr>
      <w:r w:rsidRPr="00341D4F">
        <w:rPr>
          <w:rFonts w:ascii="Arial" w:eastAsia="Times New Roman" w:hAnsi="Arial" w:cs="Times New Roman"/>
          <w:sz w:val="28"/>
          <w:szCs w:val="28"/>
        </w:rPr>
        <w:t>Writing to/visiting any addresses s/he may have been living at since leaving the joint tenancy address</w:t>
      </w:r>
    </w:p>
    <w:p w:rsidR="00573109" w:rsidRPr="00341D4F" w:rsidRDefault="00573109" w:rsidP="00573109">
      <w:pPr>
        <w:tabs>
          <w:tab w:val="num" w:pos="1080"/>
        </w:tabs>
        <w:spacing w:after="0" w:line="240" w:lineRule="auto"/>
        <w:rPr>
          <w:rFonts w:ascii="Arial" w:eastAsia="Times New Roman" w:hAnsi="Arial" w:cs="Times New Roman"/>
          <w:sz w:val="28"/>
          <w:szCs w:val="28"/>
        </w:rPr>
      </w:pPr>
    </w:p>
    <w:p w:rsidR="007F3824" w:rsidRDefault="00194BBF" w:rsidP="007F3824">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What happens i</w:t>
      </w:r>
      <w:r w:rsidR="00573109" w:rsidRPr="00682994">
        <w:rPr>
          <w:rFonts w:ascii="Arial" w:eastAsia="Times New Roman" w:hAnsi="Arial" w:cs="Times New Roman"/>
          <w:b/>
          <w:sz w:val="28"/>
          <w:szCs w:val="28"/>
        </w:rPr>
        <w:t>f</w:t>
      </w:r>
      <w:r>
        <w:rPr>
          <w:rFonts w:ascii="Arial" w:eastAsia="Times New Roman" w:hAnsi="Arial" w:cs="Times New Roman"/>
          <w:b/>
          <w:sz w:val="28"/>
          <w:szCs w:val="28"/>
        </w:rPr>
        <w:t xml:space="preserve"> a Joint to Sole R</w:t>
      </w:r>
      <w:r w:rsidR="00573109" w:rsidRPr="00682994">
        <w:rPr>
          <w:rFonts w:ascii="Arial" w:eastAsia="Times New Roman" w:hAnsi="Arial" w:cs="Times New Roman"/>
          <w:b/>
          <w:sz w:val="28"/>
          <w:szCs w:val="28"/>
        </w:rPr>
        <w:t xml:space="preserve">equest is </w:t>
      </w:r>
      <w:r>
        <w:rPr>
          <w:rFonts w:ascii="Arial" w:eastAsia="Times New Roman" w:hAnsi="Arial" w:cs="Times New Roman"/>
          <w:b/>
          <w:sz w:val="28"/>
          <w:szCs w:val="28"/>
        </w:rPr>
        <w:t>C</w:t>
      </w:r>
      <w:r w:rsidR="007F3824">
        <w:rPr>
          <w:rFonts w:ascii="Arial" w:eastAsia="Times New Roman" w:hAnsi="Arial" w:cs="Times New Roman"/>
          <w:b/>
          <w:sz w:val="28"/>
          <w:szCs w:val="28"/>
        </w:rPr>
        <w:t>ontested?</w:t>
      </w:r>
    </w:p>
    <w:p w:rsidR="007F3824" w:rsidRDefault="007F3824" w:rsidP="007F3824">
      <w:pPr>
        <w:spacing w:after="0" w:line="240" w:lineRule="auto"/>
        <w:rPr>
          <w:rFonts w:ascii="Arial" w:eastAsia="Times New Roman" w:hAnsi="Arial" w:cs="Times New Roman"/>
          <w:b/>
          <w:sz w:val="28"/>
          <w:szCs w:val="28"/>
        </w:rPr>
      </w:pPr>
    </w:p>
    <w:p w:rsidR="00573109" w:rsidRDefault="00573109" w:rsidP="007F3824">
      <w:pPr>
        <w:spacing w:after="0" w:line="240" w:lineRule="auto"/>
        <w:rPr>
          <w:rFonts w:ascii="Arial" w:eastAsia="Times New Roman" w:hAnsi="Arial" w:cs="Times New Roman"/>
          <w:sz w:val="28"/>
          <w:szCs w:val="28"/>
        </w:rPr>
      </w:pPr>
      <w:r w:rsidRPr="00682994">
        <w:rPr>
          <w:rFonts w:ascii="Arial" w:eastAsia="Times New Roman" w:hAnsi="Arial" w:cs="Times New Roman"/>
          <w:sz w:val="28"/>
          <w:szCs w:val="28"/>
        </w:rPr>
        <w:t>If both joint tenants make a request for a tenancy in their sole name,</w:t>
      </w:r>
      <w:r>
        <w:rPr>
          <w:rFonts w:ascii="Arial" w:eastAsia="Times New Roman" w:hAnsi="Arial" w:cs="Times New Roman"/>
          <w:sz w:val="28"/>
          <w:szCs w:val="28"/>
        </w:rPr>
        <w:t xml:space="preserve"> or </w:t>
      </w:r>
      <w:r w:rsidR="007F3824">
        <w:rPr>
          <w:rFonts w:ascii="Arial" w:eastAsia="Times New Roman" w:hAnsi="Arial" w:cs="Times New Roman"/>
          <w:sz w:val="28"/>
          <w:szCs w:val="28"/>
        </w:rPr>
        <w:t>t</w:t>
      </w:r>
      <w:r>
        <w:rPr>
          <w:rFonts w:ascii="Arial" w:eastAsia="Times New Roman" w:hAnsi="Arial" w:cs="Times New Roman"/>
          <w:sz w:val="28"/>
          <w:szCs w:val="28"/>
        </w:rPr>
        <w:t xml:space="preserve">he </w:t>
      </w:r>
      <w:r w:rsidRPr="00682994">
        <w:rPr>
          <w:rFonts w:ascii="Arial" w:eastAsia="Times New Roman" w:hAnsi="Arial" w:cs="Times New Roman"/>
          <w:sz w:val="28"/>
          <w:szCs w:val="28"/>
        </w:rPr>
        <w:t xml:space="preserve">request is contested by one of the joint tenants at any stage in the process before a new sole tenancy is actually granted, the </w:t>
      </w:r>
      <w:r w:rsidR="009655E4">
        <w:rPr>
          <w:rFonts w:ascii="Arial" w:eastAsia="Times New Roman" w:hAnsi="Arial" w:cs="Times New Roman"/>
          <w:sz w:val="28"/>
          <w:szCs w:val="28"/>
        </w:rPr>
        <w:t>Tenancy</w:t>
      </w:r>
      <w:r>
        <w:rPr>
          <w:rFonts w:ascii="Arial" w:eastAsia="Times New Roman" w:hAnsi="Arial" w:cs="Times New Roman"/>
          <w:sz w:val="28"/>
          <w:szCs w:val="28"/>
        </w:rPr>
        <w:t xml:space="preserve"> Housing Officer will </w:t>
      </w:r>
      <w:r w:rsidRPr="00682994">
        <w:rPr>
          <w:rFonts w:ascii="Arial" w:eastAsia="Times New Roman" w:hAnsi="Arial" w:cs="Times New Roman"/>
          <w:sz w:val="28"/>
          <w:szCs w:val="28"/>
        </w:rPr>
        <w:t xml:space="preserve">advise both tenants to seek their own independent legal advice with a view to seeking a legal solution.  </w:t>
      </w:r>
      <w:r>
        <w:rPr>
          <w:rFonts w:ascii="Arial" w:eastAsia="Times New Roman" w:hAnsi="Arial" w:cs="Times New Roman"/>
          <w:sz w:val="28"/>
          <w:szCs w:val="28"/>
        </w:rPr>
        <w:t xml:space="preserve">It is important for the Housing Officer to remain impartial </w:t>
      </w:r>
      <w:r w:rsidRPr="00682994">
        <w:rPr>
          <w:rFonts w:ascii="Arial" w:eastAsia="Times New Roman" w:hAnsi="Arial" w:cs="Times New Roman"/>
          <w:sz w:val="28"/>
          <w:szCs w:val="28"/>
        </w:rPr>
        <w:t xml:space="preserve">when dealing with both parties in these circumstances.  </w:t>
      </w:r>
    </w:p>
    <w:p w:rsidR="007F3824" w:rsidRDefault="007F3824" w:rsidP="007F3824">
      <w:pPr>
        <w:spacing w:after="0" w:line="240" w:lineRule="auto"/>
        <w:rPr>
          <w:rFonts w:ascii="Arial" w:eastAsia="Times New Roman" w:hAnsi="Arial" w:cs="Times New Roman"/>
          <w:sz w:val="28"/>
          <w:szCs w:val="28"/>
        </w:rPr>
      </w:pPr>
    </w:p>
    <w:p w:rsidR="007F3824" w:rsidRDefault="007F3824" w:rsidP="007F3824">
      <w:pPr>
        <w:spacing w:after="0" w:line="240" w:lineRule="auto"/>
        <w:rPr>
          <w:rFonts w:ascii="Arial" w:eastAsia="Times New Roman" w:hAnsi="Arial" w:cs="Times New Roman"/>
          <w:sz w:val="28"/>
          <w:szCs w:val="28"/>
        </w:rPr>
      </w:pPr>
    </w:p>
    <w:p w:rsidR="00573109" w:rsidRDefault="00573109" w:rsidP="00573109">
      <w:pPr>
        <w:spacing w:after="0" w:line="240" w:lineRule="auto"/>
        <w:ind w:left="360" w:hanging="720"/>
        <w:rPr>
          <w:rFonts w:ascii="Arial" w:eastAsia="Times New Roman" w:hAnsi="Arial" w:cs="Times New Roman"/>
          <w:sz w:val="28"/>
          <w:szCs w:val="28"/>
        </w:rPr>
      </w:pPr>
    </w:p>
    <w:p w:rsidR="00573109" w:rsidRDefault="00573109" w:rsidP="00573109">
      <w:pPr>
        <w:spacing w:after="0" w:line="240" w:lineRule="auto"/>
        <w:ind w:left="360" w:hanging="720"/>
        <w:rPr>
          <w:rFonts w:ascii="Arial" w:eastAsia="Times New Roman" w:hAnsi="Arial" w:cs="Times New Roman"/>
          <w:sz w:val="28"/>
          <w:szCs w:val="28"/>
        </w:rPr>
      </w:pPr>
    </w:p>
    <w:p w:rsidR="0028463A" w:rsidRDefault="0028463A"/>
    <w:sectPr w:rsidR="0028463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CD" w:rsidRDefault="00985CCD" w:rsidP="004D3534">
      <w:pPr>
        <w:spacing w:after="0" w:line="240" w:lineRule="auto"/>
      </w:pPr>
      <w:r>
        <w:separator/>
      </w:r>
    </w:p>
  </w:endnote>
  <w:endnote w:type="continuationSeparator" w:id="0">
    <w:p w:rsidR="00985CCD" w:rsidRDefault="00985CCD" w:rsidP="004D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34" w:rsidRPr="004D3534" w:rsidRDefault="004D3534">
    <w:pPr>
      <w:pStyle w:val="Footer"/>
      <w:rPr>
        <w:rFonts w:ascii="Arial" w:hAnsi="Arial" w:cs="Arial"/>
        <w:sz w:val="24"/>
        <w:szCs w:val="24"/>
      </w:rPr>
    </w:pPr>
    <w:r>
      <w:rPr>
        <w:rFonts w:ascii="Arial" w:hAnsi="Arial" w:cs="Arial"/>
        <w:sz w:val="24"/>
        <w:szCs w:val="24"/>
      </w:rPr>
      <w:t>Joint to Sole Document</w:t>
    </w:r>
    <w:r>
      <w:rPr>
        <w:rFonts w:ascii="Arial" w:hAnsi="Arial" w:cs="Arial"/>
        <w:sz w:val="24"/>
        <w:szCs w:val="24"/>
      </w:rPr>
      <w:tab/>
      <w:t xml:space="preserve">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CD" w:rsidRDefault="00985CCD" w:rsidP="004D3534">
      <w:pPr>
        <w:spacing w:after="0" w:line="240" w:lineRule="auto"/>
      </w:pPr>
      <w:r>
        <w:separator/>
      </w:r>
    </w:p>
  </w:footnote>
  <w:footnote w:type="continuationSeparator" w:id="0">
    <w:p w:rsidR="00985CCD" w:rsidRDefault="00985CCD" w:rsidP="004D3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1A75"/>
    <w:multiLevelType w:val="multilevel"/>
    <w:tmpl w:val="51D2744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CF5F8C"/>
    <w:multiLevelType w:val="multilevel"/>
    <w:tmpl w:val="1B8E698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0D6B2E"/>
    <w:multiLevelType w:val="hybridMultilevel"/>
    <w:tmpl w:val="04F4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6C14E2"/>
    <w:multiLevelType w:val="multilevel"/>
    <w:tmpl w:val="C89CA448"/>
    <w:lvl w:ilvl="0">
      <w:start w:val="3"/>
      <w:numFmt w:val="decimal"/>
      <w:lvlText w:val="%1"/>
      <w:lvlJc w:val="left"/>
      <w:pPr>
        <w:tabs>
          <w:tab w:val="num" w:pos="465"/>
        </w:tabs>
        <w:ind w:left="465" w:hanging="465"/>
      </w:pPr>
      <w:rPr>
        <w:rFonts w:hint="default"/>
      </w:rPr>
    </w:lvl>
    <w:lvl w:ilvl="1">
      <w:start w:val="21"/>
      <w:numFmt w:val="decimal"/>
      <w:lvlText w:val="%1.%2"/>
      <w:lvlJc w:val="left"/>
      <w:pPr>
        <w:tabs>
          <w:tab w:val="num" w:pos="105"/>
        </w:tabs>
        <w:ind w:left="105" w:hanging="465"/>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4">
    <w:nsid w:val="57DE3B29"/>
    <w:multiLevelType w:val="multilevel"/>
    <w:tmpl w:val="BB068952"/>
    <w:lvl w:ilvl="0">
      <w:start w:val="3"/>
      <w:numFmt w:val="decimal"/>
      <w:lvlText w:val="%1"/>
      <w:lvlJc w:val="left"/>
      <w:pPr>
        <w:tabs>
          <w:tab w:val="num" w:pos="465"/>
        </w:tabs>
        <w:ind w:left="465" w:hanging="465"/>
      </w:pPr>
      <w:rPr>
        <w:rFonts w:hint="default"/>
      </w:rPr>
    </w:lvl>
    <w:lvl w:ilvl="1">
      <w:start w:val="1"/>
      <w:numFmt w:val="bullet"/>
      <w:lvlText w:val=""/>
      <w:lvlJc w:val="left"/>
      <w:pPr>
        <w:tabs>
          <w:tab w:val="num" w:pos="0"/>
        </w:tabs>
        <w:ind w:left="0" w:hanging="360"/>
      </w:pPr>
      <w:rPr>
        <w:rFonts w:ascii="Symbol" w:hAnsi="Symbol"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5">
    <w:nsid w:val="65D31E1C"/>
    <w:multiLevelType w:val="multilevel"/>
    <w:tmpl w:val="494C3D9A"/>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72D51601"/>
    <w:multiLevelType w:val="hybridMultilevel"/>
    <w:tmpl w:val="9E76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3A"/>
    <w:rsid w:val="00194BBF"/>
    <w:rsid w:val="0028463A"/>
    <w:rsid w:val="00341D4F"/>
    <w:rsid w:val="004D3534"/>
    <w:rsid w:val="00573109"/>
    <w:rsid w:val="00682994"/>
    <w:rsid w:val="007F3824"/>
    <w:rsid w:val="009655E4"/>
    <w:rsid w:val="00985CCD"/>
    <w:rsid w:val="00A91127"/>
    <w:rsid w:val="00CC660C"/>
    <w:rsid w:val="00CF0B1F"/>
    <w:rsid w:val="00FF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4F"/>
    <w:pPr>
      <w:ind w:left="720"/>
      <w:contextualSpacing/>
    </w:pPr>
  </w:style>
  <w:style w:type="paragraph" w:styleId="Header">
    <w:name w:val="header"/>
    <w:basedOn w:val="Normal"/>
    <w:link w:val="HeaderChar"/>
    <w:uiPriority w:val="99"/>
    <w:unhideWhenUsed/>
    <w:rsid w:val="004D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534"/>
  </w:style>
  <w:style w:type="paragraph" w:styleId="Footer">
    <w:name w:val="footer"/>
    <w:basedOn w:val="Normal"/>
    <w:link w:val="FooterChar"/>
    <w:uiPriority w:val="99"/>
    <w:unhideWhenUsed/>
    <w:rsid w:val="004D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4F"/>
    <w:pPr>
      <w:ind w:left="720"/>
      <w:contextualSpacing/>
    </w:pPr>
  </w:style>
  <w:style w:type="paragraph" w:styleId="Header">
    <w:name w:val="header"/>
    <w:basedOn w:val="Normal"/>
    <w:link w:val="HeaderChar"/>
    <w:uiPriority w:val="99"/>
    <w:unhideWhenUsed/>
    <w:rsid w:val="004D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534"/>
  </w:style>
  <w:style w:type="paragraph" w:styleId="Footer">
    <w:name w:val="footer"/>
    <w:basedOn w:val="Normal"/>
    <w:link w:val="FooterChar"/>
    <w:uiPriority w:val="99"/>
    <w:unhideWhenUsed/>
    <w:rsid w:val="004D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66544">
      <w:bodyDiv w:val="1"/>
      <w:marLeft w:val="0"/>
      <w:marRight w:val="0"/>
      <w:marTop w:val="0"/>
      <w:marBottom w:val="0"/>
      <w:divBdr>
        <w:top w:val="none" w:sz="0" w:space="0" w:color="auto"/>
        <w:left w:val="none" w:sz="0" w:space="0" w:color="auto"/>
        <w:bottom w:val="none" w:sz="0" w:space="0" w:color="auto"/>
        <w:right w:val="none" w:sz="0" w:space="0" w:color="auto"/>
      </w:divBdr>
      <w:divsChild>
        <w:div w:id="1073577882">
          <w:marLeft w:val="0"/>
          <w:marRight w:val="0"/>
          <w:marTop w:val="0"/>
          <w:marBottom w:val="0"/>
          <w:divBdr>
            <w:top w:val="none" w:sz="0" w:space="0" w:color="auto"/>
            <w:left w:val="none" w:sz="0" w:space="0" w:color="auto"/>
            <w:bottom w:val="none" w:sz="0" w:space="0" w:color="auto"/>
            <w:right w:val="none" w:sz="0" w:space="0" w:color="auto"/>
          </w:divBdr>
          <w:divsChild>
            <w:div w:id="762530756">
              <w:marLeft w:val="0"/>
              <w:marRight w:val="0"/>
              <w:marTop w:val="0"/>
              <w:marBottom w:val="0"/>
              <w:divBdr>
                <w:top w:val="none" w:sz="0" w:space="0" w:color="auto"/>
                <w:left w:val="none" w:sz="0" w:space="0" w:color="auto"/>
                <w:bottom w:val="none" w:sz="0" w:space="0" w:color="auto"/>
                <w:right w:val="none" w:sz="0" w:space="0" w:color="auto"/>
              </w:divBdr>
              <w:divsChild>
                <w:div w:id="1574700834">
                  <w:marLeft w:val="0"/>
                  <w:marRight w:val="0"/>
                  <w:marTop w:val="0"/>
                  <w:marBottom w:val="0"/>
                  <w:divBdr>
                    <w:top w:val="none" w:sz="0" w:space="0" w:color="auto"/>
                    <w:left w:val="none" w:sz="0" w:space="0" w:color="auto"/>
                    <w:bottom w:val="none" w:sz="0" w:space="0" w:color="auto"/>
                    <w:right w:val="none" w:sz="0" w:space="0" w:color="auto"/>
                  </w:divBdr>
                  <w:divsChild>
                    <w:div w:id="242959571">
                      <w:marLeft w:val="0"/>
                      <w:marRight w:val="0"/>
                      <w:marTop w:val="0"/>
                      <w:marBottom w:val="0"/>
                      <w:divBdr>
                        <w:top w:val="none" w:sz="0" w:space="0" w:color="auto"/>
                        <w:left w:val="none" w:sz="0" w:space="0" w:color="auto"/>
                        <w:bottom w:val="none" w:sz="0" w:space="0" w:color="auto"/>
                        <w:right w:val="none" w:sz="0" w:space="0" w:color="auto"/>
                      </w:divBdr>
                      <w:divsChild>
                        <w:div w:id="571085492">
                          <w:marLeft w:val="0"/>
                          <w:marRight w:val="0"/>
                          <w:marTop w:val="0"/>
                          <w:marBottom w:val="240"/>
                          <w:divBdr>
                            <w:top w:val="none" w:sz="0" w:space="0" w:color="auto"/>
                            <w:left w:val="none" w:sz="0" w:space="0" w:color="auto"/>
                            <w:bottom w:val="none" w:sz="0" w:space="0" w:color="auto"/>
                            <w:right w:val="none" w:sz="0" w:space="0" w:color="auto"/>
                          </w:divBdr>
                          <w:divsChild>
                            <w:div w:id="167528291">
                              <w:marLeft w:val="0"/>
                              <w:marRight w:val="0"/>
                              <w:marTop w:val="0"/>
                              <w:marBottom w:val="0"/>
                              <w:divBdr>
                                <w:top w:val="none" w:sz="0" w:space="0" w:color="auto"/>
                                <w:left w:val="none" w:sz="0" w:space="0" w:color="auto"/>
                                <w:bottom w:val="none" w:sz="0" w:space="0" w:color="auto"/>
                                <w:right w:val="none" w:sz="0" w:space="0" w:color="auto"/>
                              </w:divBdr>
                            </w:div>
                            <w:div w:id="1293822940">
                              <w:marLeft w:val="0"/>
                              <w:marRight w:val="0"/>
                              <w:marTop w:val="0"/>
                              <w:marBottom w:val="0"/>
                              <w:divBdr>
                                <w:top w:val="none" w:sz="0" w:space="0" w:color="auto"/>
                                <w:left w:val="none" w:sz="0" w:space="0" w:color="auto"/>
                                <w:bottom w:val="none" w:sz="0" w:space="0" w:color="auto"/>
                                <w:right w:val="none" w:sz="0" w:space="0" w:color="auto"/>
                              </w:divBdr>
                            </w:div>
                          </w:divsChild>
                        </w:div>
                        <w:div w:id="1413164512">
                          <w:marLeft w:val="0"/>
                          <w:marRight w:val="0"/>
                          <w:marTop w:val="0"/>
                          <w:marBottom w:val="240"/>
                          <w:divBdr>
                            <w:top w:val="none" w:sz="0" w:space="0" w:color="auto"/>
                            <w:left w:val="none" w:sz="0" w:space="0" w:color="auto"/>
                            <w:bottom w:val="none" w:sz="0" w:space="0" w:color="auto"/>
                            <w:right w:val="none" w:sz="0" w:space="0" w:color="auto"/>
                          </w:divBdr>
                          <w:divsChild>
                            <w:div w:id="4123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0762-F781-46DB-A5D1-F9F23F50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ctxadmin</cp:lastModifiedBy>
  <cp:revision>1</cp:revision>
  <dcterms:created xsi:type="dcterms:W3CDTF">2017-03-02T11:47:00Z</dcterms:created>
  <dcterms:modified xsi:type="dcterms:W3CDTF">2017-03-02T12:50:00Z</dcterms:modified>
</cp:coreProperties>
</file>