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C1" w:rsidRPr="00CC758B" w:rsidRDefault="008049C1" w:rsidP="008049C1">
      <w:pPr>
        <w:pStyle w:val="Default"/>
        <w:rPr>
          <w:color w:val="auto"/>
          <w:sz w:val="28"/>
          <w:szCs w:val="28"/>
          <w:u w:val="single"/>
        </w:rPr>
      </w:pPr>
      <w:r w:rsidRPr="00CC758B">
        <w:rPr>
          <w:b/>
          <w:bCs/>
          <w:color w:val="auto"/>
          <w:sz w:val="28"/>
          <w:szCs w:val="28"/>
          <w:u w:val="single"/>
        </w:rPr>
        <w:t xml:space="preserve">SUCCESSION POLICY AND PROCEDURE </w:t>
      </w:r>
    </w:p>
    <w:p w:rsidR="002A5530" w:rsidRPr="00CC758B" w:rsidRDefault="002A5530" w:rsidP="008049C1">
      <w:pPr>
        <w:pStyle w:val="Default"/>
        <w:rPr>
          <w:b/>
          <w:bCs/>
          <w:color w:val="auto"/>
          <w:sz w:val="28"/>
          <w:szCs w:val="28"/>
        </w:rPr>
      </w:pPr>
    </w:p>
    <w:p w:rsidR="008049C1" w:rsidRPr="00CC758B" w:rsidRDefault="008049C1" w:rsidP="008049C1">
      <w:pPr>
        <w:pStyle w:val="Default"/>
        <w:rPr>
          <w:b/>
          <w:bCs/>
          <w:color w:val="auto"/>
          <w:sz w:val="28"/>
          <w:szCs w:val="28"/>
        </w:rPr>
      </w:pPr>
      <w:r w:rsidRPr="00CC758B">
        <w:rPr>
          <w:b/>
          <w:bCs/>
          <w:color w:val="auto"/>
          <w:sz w:val="28"/>
          <w:szCs w:val="28"/>
        </w:rPr>
        <w:t xml:space="preserve">Aim of </w:t>
      </w:r>
      <w:r w:rsidR="000A39C8">
        <w:rPr>
          <w:b/>
          <w:bCs/>
          <w:color w:val="auto"/>
          <w:sz w:val="28"/>
          <w:szCs w:val="28"/>
        </w:rPr>
        <w:t>P</w:t>
      </w:r>
      <w:r w:rsidRPr="00CC758B">
        <w:rPr>
          <w:b/>
          <w:bCs/>
          <w:color w:val="auto"/>
          <w:sz w:val="28"/>
          <w:szCs w:val="28"/>
        </w:rPr>
        <w:t xml:space="preserve">olicy and </w:t>
      </w:r>
      <w:r w:rsidR="000A39C8">
        <w:rPr>
          <w:b/>
          <w:bCs/>
          <w:color w:val="auto"/>
          <w:sz w:val="28"/>
          <w:szCs w:val="28"/>
        </w:rPr>
        <w:t>P</w:t>
      </w:r>
      <w:r w:rsidRPr="00CC758B">
        <w:rPr>
          <w:b/>
          <w:bCs/>
          <w:color w:val="auto"/>
          <w:sz w:val="28"/>
          <w:szCs w:val="28"/>
        </w:rPr>
        <w:t xml:space="preserve">rocedure </w:t>
      </w:r>
    </w:p>
    <w:p w:rsidR="002A5530" w:rsidRPr="00CC758B" w:rsidRDefault="002A5530" w:rsidP="008049C1">
      <w:pPr>
        <w:pStyle w:val="Default"/>
        <w:rPr>
          <w:color w:val="auto"/>
          <w:sz w:val="28"/>
          <w:szCs w:val="28"/>
        </w:rPr>
      </w:pPr>
    </w:p>
    <w:p w:rsidR="008049C1" w:rsidRPr="00CC758B" w:rsidRDefault="008049C1" w:rsidP="008049C1">
      <w:pPr>
        <w:pStyle w:val="Default"/>
        <w:rPr>
          <w:color w:val="auto"/>
          <w:sz w:val="28"/>
          <w:szCs w:val="28"/>
        </w:rPr>
      </w:pPr>
      <w:r w:rsidRPr="00CC758B">
        <w:rPr>
          <w:color w:val="auto"/>
          <w:sz w:val="28"/>
          <w:szCs w:val="28"/>
        </w:rPr>
        <w:t xml:space="preserve">The purpose of this procedure is to ensure that </w:t>
      </w:r>
      <w:r w:rsidR="002A5530" w:rsidRPr="00CC758B">
        <w:rPr>
          <w:color w:val="auto"/>
          <w:sz w:val="28"/>
          <w:szCs w:val="28"/>
        </w:rPr>
        <w:t xml:space="preserve">Winchester City </w:t>
      </w:r>
      <w:r w:rsidR="00CC758B">
        <w:rPr>
          <w:color w:val="auto"/>
          <w:sz w:val="28"/>
          <w:szCs w:val="28"/>
        </w:rPr>
        <w:t>C</w:t>
      </w:r>
      <w:r w:rsidR="002A5530" w:rsidRPr="00CC758B">
        <w:rPr>
          <w:color w:val="auto"/>
          <w:sz w:val="28"/>
          <w:szCs w:val="28"/>
        </w:rPr>
        <w:t xml:space="preserve">ouncil’s Housing Service </w:t>
      </w:r>
      <w:r w:rsidRPr="00CC758B">
        <w:rPr>
          <w:color w:val="auto"/>
          <w:sz w:val="28"/>
          <w:szCs w:val="28"/>
        </w:rPr>
        <w:t xml:space="preserve">fulfils its statutory and contractual obligation </w:t>
      </w:r>
      <w:r w:rsidR="000A39C8">
        <w:rPr>
          <w:color w:val="auto"/>
          <w:sz w:val="28"/>
          <w:szCs w:val="28"/>
        </w:rPr>
        <w:t xml:space="preserve">to the investigation of any potential </w:t>
      </w:r>
      <w:r w:rsidRPr="00CC758B">
        <w:rPr>
          <w:color w:val="auto"/>
          <w:sz w:val="28"/>
          <w:szCs w:val="28"/>
        </w:rPr>
        <w:t>succession</w:t>
      </w:r>
      <w:r w:rsidR="00EB3B07">
        <w:rPr>
          <w:color w:val="auto"/>
          <w:sz w:val="28"/>
          <w:szCs w:val="28"/>
        </w:rPr>
        <w:t xml:space="preserve"> ca</w:t>
      </w:r>
      <w:r w:rsidR="000A39C8">
        <w:rPr>
          <w:color w:val="auto"/>
          <w:sz w:val="28"/>
          <w:szCs w:val="28"/>
        </w:rPr>
        <w:t>s</w:t>
      </w:r>
      <w:r w:rsidR="00EB3B07">
        <w:rPr>
          <w:color w:val="auto"/>
          <w:sz w:val="28"/>
          <w:szCs w:val="28"/>
        </w:rPr>
        <w:t>e</w:t>
      </w:r>
      <w:r w:rsidRPr="00CC758B">
        <w:rPr>
          <w:color w:val="auto"/>
          <w:sz w:val="28"/>
          <w:szCs w:val="28"/>
        </w:rPr>
        <w:t xml:space="preserve">. </w:t>
      </w:r>
    </w:p>
    <w:p w:rsidR="002A5530" w:rsidRPr="00CC758B" w:rsidRDefault="002A5530" w:rsidP="008049C1">
      <w:pPr>
        <w:pStyle w:val="Default"/>
        <w:rPr>
          <w:b/>
          <w:bCs/>
          <w:color w:val="auto"/>
          <w:sz w:val="28"/>
          <w:szCs w:val="28"/>
        </w:rPr>
      </w:pPr>
    </w:p>
    <w:p w:rsidR="008049C1" w:rsidRPr="00CC758B" w:rsidRDefault="008049C1" w:rsidP="008049C1">
      <w:pPr>
        <w:pStyle w:val="Default"/>
        <w:rPr>
          <w:b/>
          <w:bCs/>
          <w:color w:val="auto"/>
          <w:sz w:val="28"/>
          <w:szCs w:val="28"/>
        </w:rPr>
      </w:pPr>
      <w:r w:rsidRPr="00CC758B">
        <w:rPr>
          <w:b/>
          <w:bCs/>
          <w:color w:val="auto"/>
          <w:sz w:val="28"/>
          <w:szCs w:val="28"/>
        </w:rPr>
        <w:t xml:space="preserve">What is </w:t>
      </w:r>
      <w:r w:rsidR="00737FED" w:rsidRPr="00CC758B">
        <w:rPr>
          <w:b/>
          <w:bCs/>
          <w:color w:val="auto"/>
          <w:sz w:val="28"/>
          <w:szCs w:val="28"/>
        </w:rPr>
        <w:t xml:space="preserve">a </w:t>
      </w:r>
      <w:r w:rsidR="000A39C8">
        <w:rPr>
          <w:b/>
          <w:bCs/>
          <w:color w:val="auto"/>
          <w:sz w:val="28"/>
          <w:szCs w:val="28"/>
        </w:rPr>
        <w:t>S</w:t>
      </w:r>
      <w:r w:rsidRPr="00CC758B">
        <w:rPr>
          <w:b/>
          <w:bCs/>
          <w:color w:val="auto"/>
          <w:sz w:val="28"/>
          <w:szCs w:val="28"/>
        </w:rPr>
        <w:t xml:space="preserve">uccession? </w:t>
      </w:r>
    </w:p>
    <w:p w:rsidR="002A5530" w:rsidRPr="00CC758B" w:rsidRDefault="002A5530" w:rsidP="008049C1">
      <w:pPr>
        <w:pStyle w:val="Default"/>
        <w:rPr>
          <w:color w:val="auto"/>
          <w:sz w:val="28"/>
          <w:szCs w:val="28"/>
        </w:rPr>
      </w:pPr>
    </w:p>
    <w:p w:rsidR="008049C1" w:rsidRDefault="008049C1" w:rsidP="008049C1">
      <w:pPr>
        <w:pStyle w:val="Default"/>
        <w:rPr>
          <w:color w:val="auto"/>
          <w:sz w:val="28"/>
          <w:szCs w:val="28"/>
        </w:rPr>
      </w:pPr>
      <w:r w:rsidRPr="00CC758B">
        <w:rPr>
          <w:color w:val="auto"/>
          <w:sz w:val="28"/>
          <w:szCs w:val="28"/>
        </w:rPr>
        <w:t xml:space="preserve">Succession is the right of a spouse, civil partner, </w:t>
      </w:r>
      <w:proofErr w:type="gramStart"/>
      <w:r w:rsidRPr="00CC758B">
        <w:rPr>
          <w:color w:val="auto"/>
          <w:sz w:val="28"/>
          <w:szCs w:val="28"/>
        </w:rPr>
        <w:t>partner</w:t>
      </w:r>
      <w:proofErr w:type="gramEnd"/>
      <w:r w:rsidRPr="00CC758B">
        <w:rPr>
          <w:color w:val="auto"/>
          <w:sz w:val="28"/>
          <w:szCs w:val="28"/>
        </w:rPr>
        <w:t xml:space="preserve"> or, in some cases, family member to take over the </w:t>
      </w:r>
      <w:r w:rsidR="00737FED" w:rsidRPr="00CC758B">
        <w:rPr>
          <w:color w:val="auto"/>
          <w:sz w:val="28"/>
          <w:szCs w:val="28"/>
        </w:rPr>
        <w:t xml:space="preserve">secure </w:t>
      </w:r>
      <w:r w:rsidRPr="00CC758B">
        <w:rPr>
          <w:color w:val="auto"/>
          <w:sz w:val="28"/>
          <w:szCs w:val="28"/>
        </w:rPr>
        <w:t>tenancy following the death of the tenant, where the property was the applicant's</w:t>
      </w:r>
      <w:r w:rsidR="00271DE3">
        <w:rPr>
          <w:color w:val="auto"/>
          <w:sz w:val="28"/>
          <w:szCs w:val="28"/>
        </w:rPr>
        <w:t xml:space="preserve"> only or</w:t>
      </w:r>
      <w:r w:rsidRPr="00CC758B">
        <w:rPr>
          <w:color w:val="auto"/>
          <w:sz w:val="28"/>
          <w:szCs w:val="28"/>
        </w:rPr>
        <w:t xml:space="preserve"> principal home. </w:t>
      </w:r>
    </w:p>
    <w:p w:rsidR="00666FAD" w:rsidRDefault="00666FAD" w:rsidP="008049C1">
      <w:pPr>
        <w:pStyle w:val="Default"/>
        <w:rPr>
          <w:color w:val="auto"/>
          <w:sz w:val="28"/>
          <w:szCs w:val="28"/>
        </w:rPr>
      </w:pPr>
    </w:p>
    <w:p w:rsidR="00666FAD" w:rsidRDefault="00666FAD" w:rsidP="008049C1">
      <w:pPr>
        <w:pStyle w:val="Default"/>
        <w:rPr>
          <w:b/>
          <w:color w:val="auto"/>
          <w:sz w:val="28"/>
          <w:szCs w:val="28"/>
        </w:rPr>
      </w:pPr>
      <w:r>
        <w:rPr>
          <w:b/>
          <w:color w:val="auto"/>
          <w:sz w:val="28"/>
          <w:szCs w:val="28"/>
        </w:rPr>
        <w:t>Investigation Process</w:t>
      </w:r>
    </w:p>
    <w:p w:rsidR="00666FAD" w:rsidRDefault="00666FAD" w:rsidP="008049C1">
      <w:pPr>
        <w:pStyle w:val="Default"/>
        <w:rPr>
          <w:b/>
          <w:color w:val="auto"/>
          <w:sz w:val="28"/>
          <w:szCs w:val="28"/>
        </w:rPr>
      </w:pPr>
    </w:p>
    <w:p w:rsidR="00666FAD" w:rsidRDefault="00666FAD" w:rsidP="008049C1">
      <w:pPr>
        <w:pStyle w:val="Default"/>
        <w:rPr>
          <w:color w:val="auto"/>
          <w:sz w:val="28"/>
          <w:szCs w:val="28"/>
        </w:rPr>
      </w:pPr>
      <w:r>
        <w:rPr>
          <w:color w:val="auto"/>
          <w:sz w:val="28"/>
          <w:szCs w:val="28"/>
        </w:rPr>
        <w:t xml:space="preserve">All succession cases are </w:t>
      </w:r>
      <w:r w:rsidR="00F858B9">
        <w:rPr>
          <w:color w:val="auto"/>
          <w:sz w:val="28"/>
          <w:szCs w:val="28"/>
        </w:rPr>
        <w:t xml:space="preserve">investigated by the Tenancy Housing Officer in a timely fashion, </w:t>
      </w:r>
      <w:r>
        <w:rPr>
          <w:color w:val="auto"/>
          <w:sz w:val="28"/>
          <w:szCs w:val="28"/>
        </w:rPr>
        <w:t xml:space="preserve">depending on what evidence is required.  </w:t>
      </w:r>
      <w:r w:rsidR="00F858B9">
        <w:rPr>
          <w:color w:val="auto"/>
          <w:sz w:val="28"/>
          <w:szCs w:val="28"/>
        </w:rPr>
        <w:t>For a spouse or partner automatically entitled to succeed to the tenancy, the Tenancy Housing Officer will aim to notify the outcome within 10 working days.  For some cases, proof of identity, residence and relationship are required and it may take longer to make a decision, however the applicant will be informed throughout the process.</w:t>
      </w:r>
    </w:p>
    <w:p w:rsidR="002A5530" w:rsidRPr="00CC758B" w:rsidRDefault="002A5530" w:rsidP="008049C1">
      <w:pPr>
        <w:pStyle w:val="Default"/>
        <w:rPr>
          <w:b/>
          <w:bCs/>
          <w:color w:val="auto"/>
          <w:sz w:val="28"/>
          <w:szCs w:val="28"/>
        </w:rPr>
      </w:pPr>
    </w:p>
    <w:p w:rsidR="008049C1" w:rsidRPr="00CC758B" w:rsidRDefault="008049C1" w:rsidP="008049C1">
      <w:pPr>
        <w:pStyle w:val="Default"/>
        <w:rPr>
          <w:b/>
          <w:bCs/>
          <w:color w:val="auto"/>
          <w:sz w:val="28"/>
          <w:szCs w:val="28"/>
        </w:rPr>
      </w:pPr>
      <w:r w:rsidRPr="00CC758B">
        <w:rPr>
          <w:b/>
          <w:bCs/>
          <w:color w:val="auto"/>
          <w:sz w:val="28"/>
          <w:szCs w:val="28"/>
        </w:rPr>
        <w:t xml:space="preserve">What is the </w:t>
      </w:r>
      <w:r w:rsidR="000A39C8">
        <w:rPr>
          <w:b/>
          <w:bCs/>
          <w:color w:val="auto"/>
          <w:sz w:val="28"/>
          <w:szCs w:val="28"/>
        </w:rPr>
        <w:t>L</w:t>
      </w:r>
      <w:r w:rsidRPr="00CC758B">
        <w:rPr>
          <w:b/>
          <w:bCs/>
          <w:color w:val="auto"/>
          <w:sz w:val="28"/>
          <w:szCs w:val="28"/>
        </w:rPr>
        <w:t xml:space="preserve">egal </w:t>
      </w:r>
      <w:r w:rsidR="000A39C8">
        <w:rPr>
          <w:b/>
          <w:bCs/>
          <w:color w:val="auto"/>
          <w:sz w:val="28"/>
          <w:szCs w:val="28"/>
        </w:rPr>
        <w:t>B</w:t>
      </w:r>
      <w:r w:rsidRPr="00CC758B">
        <w:rPr>
          <w:b/>
          <w:bCs/>
          <w:color w:val="auto"/>
          <w:sz w:val="28"/>
          <w:szCs w:val="28"/>
        </w:rPr>
        <w:t xml:space="preserve">asis for </w:t>
      </w:r>
      <w:r w:rsidR="000A39C8">
        <w:rPr>
          <w:b/>
          <w:bCs/>
          <w:color w:val="auto"/>
          <w:sz w:val="28"/>
          <w:szCs w:val="28"/>
        </w:rPr>
        <w:t>a S</w:t>
      </w:r>
      <w:r w:rsidRPr="00CC758B">
        <w:rPr>
          <w:b/>
          <w:bCs/>
          <w:color w:val="auto"/>
          <w:sz w:val="28"/>
          <w:szCs w:val="28"/>
        </w:rPr>
        <w:t>uccession</w:t>
      </w:r>
      <w:r w:rsidR="00737FED" w:rsidRPr="00CC758B">
        <w:rPr>
          <w:b/>
          <w:bCs/>
          <w:color w:val="auto"/>
          <w:sz w:val="28"/>
          <w:szCs w:val="28"/>
        </w:rPr>
        <w:t>?</w:t>
      </w:r>
    </w:p>
    <w:p w:rsidR="002A5530" w:rsidRPr="00CC758B" w:rsidRDefault="002A5530" w:rsidP="008049C1">
      <w:pPr>
        <w:pStyle w:val="Default"/>
        <w:rPr>
          <w:color w:val="auto"/>
          <w:sz w:val="28"/>
          <w:szCs w:val="28"/>
        </w:rPr>
      </w:pPr>
    </w:p>
    <w:p w:rsidR="00271DE3" w:rsidRDefault="00271DE3" w:rsidP="00EB3B07">
      <w:pPr>
        <w:rPr>
          <w:rFonts w:cs="Arial"/>
          <w:sz w:val="28"/>
          <w:szCs w:val="28"/>
        </w:rPr>
      </w:pPr>
      <w:r>
        <w:rPr>
          <w:rFonts w:cs="Arial"/>
          <w:sz w:val="28"/>
          <w:szCs w:val="28"/>
        </w:rPr>
        <w:t>The statute relating to succession to a secure tenancy is contained in Section 87 and 89 of the Housing Act 1985.</w:t>
      </w:r>
    </w:p>
    <w:p w:rsidR="00271DE3" w:rsidRDefault="00271DE3" w:rsidP="00EB3B07">
      <w:pPr>
        <w:rPr>
          <w:rFonts w:cs="Arial"/>
          <w:sz w:val="28"/>
          <w:szCs w:val="28"/>
        </w:rPr>
      </w:pPr>
    </w:p>
    <w:p w:rsidR="00737FED" w:rsidRPr="00737FED" w:rsidRDefault="00737FED" w:rsidP="00EB3B07">
      <w:pPr>
        <w:rPr>
          <w:rFonts w:cs="Arial"/>
          <w:sz w:val="28"/>
          <w:szCs w:val="28"/>
        </w:rPr>
      </w:pPr>
      <w:r w:rsidRPr="00737FED">
        <w:rPr>
          <w:rFonts w:cs="Arial"/>
          <w:sz w:val="28"/>
          <w:szCs w:val="28"/>
        </w:rPr>
        <w:t>A person is qualified to succeed to the tenancy unde</w:t>
      </w:r>
      <w:r w:rsidR="000A39C8">
        <w:rPr>
          <w:rFonts w:cs="Arial"/>
          <w:sz w:val="28"/>
          <w:szCs w:val="28"/>
        </w:rPr>
        <w:t xml:space="preserve">r Section 87 of the </w:t>
      </w:r>
      <w:r w:rsidRPr="00CC758B">
        <w:rPr>
          <w:rFonts w:cs="Arial"/>
          <w:sz w:val="28"/>
          <w:szCs w:val="28"/>
        </w:rPr>
        <w:t xml:space="preserve">Housing Act </w:t>
      </w:r>
      <w:r w:rsidRPr="00737FED">
        <w:rPr>
          <w:rFonts w:cs="Arial"/>
          <w:sz w:val="28"/>
          <w:szCs w:val="28"/>
        </w:rPr>
        <w:t>1985 if the tenancy commenced before 1</w:t>
      </w:r>
      <w:r w:rsidRPr="00737FED">
        <w:rPr>
          <w:rFonts w:cs="Arial"/>
          <w:sz w:val="28"/>
          <w:szCs w:val="28"/>
          <w:vertAlign w:val="superscript"/>
        </w:rPr>
        <w:t>st</w:t>
      </w:r>
      <w:r w:rsidRPr="00737FED">
        <w:rPr>
          <w:rFonts w:cs="Arial"/>
          <w:sz w:val="28"/>
          <w:szCs w:val="28"/>
        </w:rPr>
        <w:t xml:space="preserve"> April 2012 and </w:t>
      </w:r>
      <w:r w:rsidR="00EB3B07">
        <w:rPr>
          <w:rFonts w:cs="Arial"/>
          <w:sz w:val="28"/>
          <w:szCs w:val="28"/>
        </w:rPr>
        <w:t xml:space="preserve">they </w:t>
      </w:r>
      <w:r w:rsidRPr="00737FED">
        <w:rPr>
          <w:rFonts w:cs="Arial"/>
          <w:sz w:val="28"/>
          <w:szCs w:val="28"/>
        </w:rPr>
        <w:t>occup</w:t>
      </w:r>
      <w:r w:rsidR="00EB3B07">
        <w:rPr>
          <w:rFonts w:cs="Arial"/>
          <w:sz w:val="28"/>
          <w:szCs w:val="28"/>
        </w:rPr>
        <w:t xml:space="preserve">y </w:t>
      </w:r>
      <w:r w:rsidRPr="00737FED">
        <w:rPr>
          <w:rFonts w:cs="Arial"/>
          <w:sz w:val="28"/>
          <w:szCs w:val="28"/>
        </w:rPr>
        <w:t xml:space="preserve">the property as </w:t>
      </w:r>
      <w:r w:rsidR="00EB3B07">
        <w:rPr>
          <w:rFonts w:cs="Arial"/>
          <w:sz w:val="28"/>
          <w:szCs w:val="28"/>
        </w:rPr>
        <w:t xml:space="preserve">their </w:t>
      </w:r>
      <w:r w:rsidRPr="00737FED">
        <w:rPr>
          <w:rFonts w:cs="Arial"/>
          <w:sz w:val="28"/>
          <w:szCs w:val="28"/>
        </w:rPr>
        <w:t>only or principal home at the time of the tenant’s death and either:</w:t>
      </w:r>
    </w:p>
    <w:p w:rsidR="00737FED" w:rsidRPr="00737FED" w:rsidRDefault="00737FED" w:rsidP="00737FED">
      <w:pPr>
        <w:ind w:left="360"/>
        <w:rPr>
          <w:rFonts w:cs="Arial"/>
          <w:sz w:val="28"/>
          <w:szCs w:val="28"/>
        </w:rPr>
      </w:pPr>
    </w:p>
    <w:p w:rsidR="00737FED" w:rsidRPr="00CC758B" w:rsidRDefault="00CC758B" w:rsidP="00CC758B">
      <w:pPr>
        <w:pStyle w:val="ListParagraph"/>
        <w:numPr>
          <w:ilvl w:val="0"/>
          <w:numId w:val="10"/>
        </w:numPr>
        <w:rPr>
          <w:rFonts w:cs="Arial"/>
          <w:sz w:val="28"/>
          <w:szCs w:val="28"/>
        </w:rPr>
      </w:pPr>
      <w:r>
        <w:rPr>
          <w:rFonts w:cs="Arial"/>
          <w:sz w:val="28"/>
          <w:szCs w:val="28"/>
        </w:rPr>
        <w:t xml:space="preserve">they are </w:t>
      </w:r>
      <w:r w:rsidR="00737FED" w:rsidRPr="00CC758B">
        <w:rPr>
          <w:rFonts w:cs="Arial"/>
          <w:sz w:val="28"/>
          <w:szCs w:val="28"/>
        </w:rPr>
        <w:t>the tenant’s spouse or civil partner; or</w:t>
      </w:r>
    </w:p>
    <w:p w:rsidR="00737FED" w:rsidRPr="00CC758B" w:rsidRDefault="00737FED" w:rsidP="00737FED">
      <w:pPr>
        <w:rPr>
          <w:rFonts w:cs="Arial"/>
          <w:sz w:val="28"/>
          <w:szCs w:val="28"/>
        </w:rPr>
      </w:pPr>
    </w:p>
    <w:p w:rsidR="00737FED" w:rsidRPr="00CC758B" w:rsidRDefault="00CC758B" w:rsidP="00CC758B">
      <w:pPr>
        <w:pStyle w:val="ListParagraph"/>
        <w:numPr>
          <w:ilvl w:val="0"/>
          <w:numId w:val="10"/>
        </w:numPr>
        <w:rPr>
          <w:rFonts w:cs="Arial"/>
          <w:sz w:val="28"/>
          <w:szCs w:val="28"/>
        </w:rPr>
      </w:pPr>
      <w:proofErr w:type="gramStart"/>
      <w:r>
        <w:rPr>
          <w:rFonts w:cs="Arial"/>
          <w:sz w:val="28"/>
          <w:szCs w:val="28"/>
        </w:rPr>
        <w:t>they</w:t>
      </w:r>
      <w:proofErr w:type="gramEnd"/>
      <w:r>
        <w:rPr>
          <w:rFonts w:cs="Arial"/>
          <w:sz w:val="28"/>
          <w:szCs w:val="28"/>
        </w:rPr>
        <w:t xml:space="preserve"> are </w:t>
      </w:r>
      <w:r w:rsidR="00737FED" w:rsidRPr="00CC758B">
        <w:rPr>
          <w:rFonts w:cs="Arial"/>
          <w:sz w:val="28"/>
          <w:szCs w:val="28"/>
        </w:rPr>
        <w:t xml:space="preserve">another member of the tenant’s family and has resided with the tenant for twelve months preceding the death of the tenant.  </w:t>
      </w:r>
    </w:p>
    <w:p w:rsidR="00737FED" w:rsidRPr="00CC758B" w:rsidRDefault="00737FED" w:rsidP="00737FED">
      <w:pPr>
        <w:rPr>
          <w:rFonts w:cs="Arial"/>
          <w:sz w:val="28"/>
          <w:szCs w:val="28"/>
          <w:lang w:val="en"/>
        </w:rPr>
      </w:pPr>
    </w:p>
    <w:p w:rsidR="00737FED" w:rsidRPr="00CC758B" w:rsidRDefault="00737FED" w:rsidP="00CC758B">
      <w:pPr>
        <w:pStyle w:val="ListParagraph"/>
        <w:numPr>
          <w:ilvl w:val="0"/>
          <w:numId w:val="10"/>
        </w:numPr>
        <w:rPr>
          <w:rFonts w:cs="Arial"/>
          <w:sz w:val="28"/>
          <w:szCs w:val="28"/>
          <w:lang w:val="en"/>
        </w:rPr>
      </w:pPr>
      <w:proofErr w:type="gramStart"/>
      <w:r w:rsidRPr="00CC758B">
        <w:rPr>
          <w:rFonts w:cs="Arial"/>
          <w:sz w:val="28"/>
          <w:szCs w:val="28"/>
          <w:lang w:val="en"/>
        </w:rPr>
        <w:t>unless</w:t>
      </w:r>
      <w:proofErr w:type="gramEnd"/>
      <w:r w:rsidRPr="00CC758B">
        <w:rPr>
          <w:rFonts w:cs="Arial"/>
          <w:sz w:val="28"/>
          <w:szCs w:val="28"/>
          <w:lang w:val="en"/>
        </w:rPr>
        <w:t>, in either case, the tenant was himself a successor, as defined in Section 88.</w:t>
      </w:r>
    </w:p>
    <w:p w:rsidR="00737FED" w:rsidRPr="00737FED" w:rsidRDefault="00737FED" w:rsidP="00737FED">
      <w:pPr>
        <w:ind w:left="540"/>
        <w:rPr>
          <w:rFonts w:cs="Arial"/>
          <w:b/>
          <w:sz w:val="28"/>
          <w:szCs w:val="28"/>
        </w:rPr>
      </w:pPr>
    </w:p>
    <w:p w:rsidR="00737FED" w:rsidRDefault="00737FED" w:rsidP="00737FED">
      <w:pPr>
        <w:rPr>
          <w:rFonts w:cs="Arial"/>
          <w:sz w:val="28"/>
          <w:szCs w:val="28"/>
        </w:rPr>
      </w:pPr>
      <w:r w:rsidRPr="00737FED">
        <w:rPr>
          <w:rFonts w:cs="Arial"/>
          <w:sz w:val="28"/>
          <w:szCs w:val="28"/>
        </w:rPr>
        <w:t>There can only be one statutory succession to a tenancy with two joint tenants.  Therefore, if the deceased tenant was a successor</w:t>
      </w:r>
      <w:r w:rsidR="00271DE3">
        <w:rPr>
          <w:rFonts w:cs="Arial"/>
          <w:sz w:val="28"/>
          <w:szCs w:val="28"/>
        </w:rPr>
        <w:t xml:space="preserve">, </w:t>
      </w:r>
      <w:r w:rsidRPr="00737FED">
        <w:rPr>
          <w:rFonts w:cs="Arial"/>
          <w:sz w:val="28"/>
          <w:szCs w:val="28"/>
        </w:rPr>
        <w:t>or survivor, there can be no further succession</w:t>
      </w:r>
      <w:r w:rsidRPr="00737FED">
        <w:rPr>
          <w:rFonts w:cs="Arial"/>
          <w:b/>
          <w:sz w:val="28"/>
          <w:szCs w:val="28"/>
        </w:rPr>
        <w:t>.</w:t>
      </w:r>
      <w:r w:rsidRPr="00737FED">
        <w:rPr>
          <w:rFonts w:cs="Arial"/>
          <w:sz w:val="28"/>
          <w:szCs w:val="28"/>
        </w:rPr>
        <w:t xml:space="preserve">  </w:t>
      </w:r>
    </w:p>
    <w:p w:rsidR="00271DE3" w:rsidRDefault="00271DE3" w:rsidP="00737FED">
      <w:pPr>
        <w:rPr>
          <w:rFonts w:cs="Arial"/>
          <w:sz w:val="28"/>
          <w:szCs w:val="28"/>
        </w:rPr>
      </w:pPr>
    </w:p>
    <w:p w:rsidR="00F808BD" w:rsidRPr="00F808BD" w:rsidRDefault="00F808BD" w:rsidP="00F808BD">
      <w:pPr>
        <w:ind w:left="540" w:hanging="540"/>
        <w:rPr>
          <w:rFonts w:cs="Arial"/>
          <w:b/>
          <w:sz w:val="28"/>
          <w:szCs w:val="28"/>
        </w:rPr>
      </w:pPr>
      <w:r w:rsidRPr="00F808BD">
        <w:rPr>
          <w:rFonts w:cs="Arial"/>
          <w:b/>
          <w:sz w:val="28"/>
          <w:szCs w:val="28"/>
        </w:rPr>
        <w:t>Succession to a Tenancy Created on or after the 1</w:t>
      </w:r>
      <w:r w:rsidRPr="00F808BD">
        <w:rPr>
          <w:rFonts w:cs="Arial"/>
          <w:b/>
          <w:sz w:val="28"/>
          <w:szCs w:val="28"/>
          <w:vertAlign w:val="superscript"/>
        </w:rPr>
        <w:t>st</w:t>
      </w:r>
      <w:r w:rsidRPr="00F808BD">
        <w:rPr>
          <w:rFonts w:cs="Arial"/>
          <w:b/>
          <w:sz w:val="28"/>
          <w:szCs w:val="28"/>
        </w:rPr>
        <w:t xml:space="preserve"> April 2012</w:t>
      </w:r>
    </w:p>
    <w:p w:rsidR="00F808BD" w:rsidRPr="00F808BD" w:rsidRDefault="00F808BD" w:rsidP="00F808BD">
      <w:pPr>
        <w:ind w:left="540" w:hanging="540"/>
        <w:rPr>
          <w:rFonts w:cs="Arial"/>
          <w:b/>
          <w:sz w:val="28"/>
          <w:szCs w:val="28"/>
        </w:rPr>
      </w:pPr>
    </w:p>
    <w:p w:rsidR="00F808BD" w:rsidRPr="00F808BD" w:rsidRDefault="00F808BD" w:rsidP="00F808BD">
      <w:pPr>
        <w:rPr>
          <w:rFonts w:cs="Arial"/>
          <w:sz w:val="28"/>
          <w:szCs w:val="28"/>
        </w:rPr>
      </w:pPr>
      <w:r w:rsidRPr="00F808BD">
        <w:rPr>
          <w:rFonts w:cs="Arial"/>
          <w:sz w:val="28"/>
          <w:szCs w:val="28"/>
        </w:rPr>
        <w:t>Succession to a secure and introductory tenancy created on or after 1</w:t>
      </w:r>
      <w:r w:rsidRPr="00F808BD">
        <w:rPr>
          <w:rFonts w:cs="Arial"/>
          <w:sz w:val="28"/>
          <w:szCs w:val="28"/>
          <w:vertAlign w:val="superscript"/>
        </w:rPr>
        <w:t>st</w:t>
      </w:r>
      <w:r w:rsidRPr="00F808BD">
        <w:rPr>
          <w:rFonts w:cs="Arial"/>
          <w:sz w:val="28"/>
          <w:szCs w:val="28"/>
        </w:rPr>
        <w:t xml:space="preserve"> April 2012 will be subject to the provisions introduced by the Localism Act 2011, which amended the provisions in the Housing Act 1985, regarding who can succeed to a tenancy.</w:t>
      </w:r>
    </w:p>
    <w:p w:rsidR="00F808BD" w:rsidRPr="00F808BD" w:rsidRDefault="00F808BD" w:rsidP="00F808BD">
      <w:pPr>
        <w:rPr>
          <w:rFonts w:cs="Arial"/>
          <w:sz w:val="28"/>
          <w:szCs w:val="28"/>
        </w:rPr>
      </w:pPr>
    </w:p>
    <w:p w:rsidR="00F808BD" w:rsidRPr="00F808BD" w:rsidRDefault="00271DE3" w:rsidP="00F808BD">
      <w:pPr>
        <w:rPr>
          <w:rFonts w:cs="Arial"/>
          <w:b/>
          <w:sz w:val="28"/>
          <w:szCs w:val="28"/>
        </w:rPr>
      </w:pPr>
      <w:r>
        <w:rPr>
          <w:rFonts w:cs="Arial"/>
          <w:sz w:val="28"/>
          <w:szCs w:val="28"/>
        </w:rPr>
        <w:t xml:space="preserve">The Localism Act </w:t>
      </w:r>
      <w:r w:rsidR="00F808BD" w:rsidRPr="00F808BD">
        <w:rPr>
          <w:rFonts w:cs="Arial"/>
          <w:sz w:val="28"/>
          <w:szCs w:val="28"/>
        </w:rPr>
        <w:t xml:space="preserve">states that only a spouse or civil partner can succeed to a secure or introductory tenancy.  </w:t>
      </w:r>
    </w:p>
    <w:p w:rsidR="00F808BD" w:rsidRPr="00F808BD" w:rsidRDefault="00F808BD" w:rsidP="00F808BD">
      <w:pPr>
        <w:rPr>
          <w:rFonts w:cs="Arial"/>
          <w:b/>
          <w:sz w:val="28"/>
          <w:szCs w:val="28"/>
        </w:rPr>
      </w:pPr>
    </w:p>
    <w:p w:rsidR="00F808BD" w:rsidRPr="00F808BD" w:rsidRDefault="00F808BD" w:rsidP="00F808BD">
      <w:pPr>
        <w:rPr>
          <w:rFonts w:cs="Arial"/>
          <w:b/>
          <w:sz w:val="28"/>
          <w:szCs w:val="28"/>
        </w:rPr>
      </w:pPr>
      <w:r w:rsidRPr="00F808BD">
        <w:rPr>
          <w:rFonts w:cs="Arial"/>
          <w:sz w:val="28"/>
          <w:szCs w:val="28"/>
        </w:rPr>
        <w:t>Other family members no longer have the right to succeed to tenancies created on or after 1</w:t>
      </w:r>
      <w:r w:rsidRPr="00F808BD">
        <w:rPr>
          <w:rFonts w:cs="Arial"/>
          <w:sz w:val="28"/>
          <w:szCs w:val="28"/>
          <w:vertAlign w:val="superscript"/>
        </w:rPr>
        <w:t>st</w:t>
      </w:r>
      <w:r w:rsidRPr="00F808BD">
        <w:rPr>
          <w:rFonts w:cs="Arial"/>
          <w:sz w:val="28"/>
          <w:szCs w:val="28"/>
        </w:rPr>
        <w:t xml:space="preserve"> April 2012.  </w:t>
      </w:r>
    </w:p>
    <w:p w:rsidR="00F808BD" w:rsidRPr="00F808BD" w:rsidRDefault="00F808BD" w:rsidP="00F808BD">
      <w:pPr>
        <w:rPr>
          <w:rFonts w:cs="Arial"/>
          <w:b/>
          <w:sz w:val="28"/>
          <w:szCs w:val="28"/>
        </w:rPr>
      </w:pPr>
    </w:p>
    <w:p w:rsidR="00F808BD" w:rsidRPr="00F808BD" w:rsidRDefault="00F808BD" w:rsidP="00F808BD">
      <w:pPr>
        <w:rPr>
          <w:rFonts w:cs="Arial"/>
          <w:b/>
          <w:sz w:val="28"/>
          <w:szCs w:val="28"/>
        </w:rPr>
      </w:pPr>
      <w:r w:rsidRPr="00F808BD">
        <w:rPr>
          <w:rFonts w:cs="Arial"/>
          <w:sz w:val="28"/>
          <w:szCs w:val="28"/>
        </w:rPr>
        <w:t xml:space="preserve">If the spouse or civil partner of the deceased is already a successor, there is no further right of succession.  </w:t>
      </w:r>
    </w:p>
    <w:p w:rsidR="00F808BD" w:rsidRPr="00737FED" w:rsidRDefault="00F808BD" w:rsidP="00737FED">
      <w:pPr>
        <w:rPr>
          <w:rFonts w:cs="Arial"/>
          <w:sz w:val="28"/>
          <w:szCs w:val="28"/>
        </w:rPr>
      </w:pPr>
    </w:p>
    <w:p w:rsidR="00F808BD" w:rsidRPr="00F808BD" w:rsidRDefault="00F808BD" w:rsidP="00F808BD">
      <w:pPr>
        <w:ind w:left="540" w:hanging="540"/>
        <w:rPr>
          <w:rFonts w:cs="Arial"/>
          <w:b/>
          <w:sz w:val="28"/>
          <w:szCs w:val="28"/>
        </w:rPr>
      </w:pPr>
      <w:r w:rsidRPr="00F808BD">
        <w:rPr>
          <w:rFonts w:cs="Arial"/>
          <w:b/>
          <w:sz w:val="28"/>
          <w:szCs w:val="28"/>
        </w:rPr>
        <w:t xml:space="preserve">Tenancies Created Before 1980 </w:t>
      </w:r>
    </w:p>
    <w:p w:rsidR="00F808BD" w:rsidRPr="00F808BD" w:rsidRDefault="00F808BD" w:rsidP="00F808BD">
      <w:pPr>
        <w:rPr>
          <w:rFonts w:cs="Arial"/>
          <w:sz w:val="28"/>
          <w:szCs w:val="28"/>
        </w:rPr>
      </w:pPr>
    </w:p>
    <w:p w:rsidR="00F808BD" w:rsidRPr="00F808BD" w:rsidRDefault="00F808BD" w:rsidP="00F808BD">
      <w:pPr>
        <w:rPr>
          <w:rFonts w:cs="Arial"/>
          <w:sz w:val="28"/>
          <w:szCs w:val="28"/>
        </w:rPr>
      </w:pPr>
      <w:r w:rsidRPr="00F808BD">
        <w:rPr>
          <w:rFonts w:cs="Arial"/>
          <w:sz w:val="28"/>
          <w:szCs w:val="28"/>
        </w:rPr>
        <w:t>Secure tenancies were created by the Housing Act 1980, which came into force on 3</w:t>
      </w:r>
      <w:r w:rsidRPr="00F808BD">
        <w:rPr>
          <w:rFonts w:cs="Arial"/>
          <w:sz w:val="28"/>
          <w:szCs w:val="28"/>
          <w:vertAlign w:val="superscript"/>
        </w:rPr>
        <w:t>rd</w:t>
      </w:r>
      <w:r w:rsidRPr="00F808BD">
        <w:rPr>
          <w:rFonts w:cs="Arial"/>
          <w:sz w:val="28"/>
          <w:szCs w:val="28"/>
        </w:rPr>
        <w:t xml:space="preserve"> October 1980.  The provisions were later incorporated into the Housing Act 1985.  </w:t>
      </w:r>
    </w:p>
    <w:p w:rsidR="00F808BD" w:rsidRPr="00F808BD" w:rsidRDefault="00F808BD" w:rsidP="00F808BD">
      <w:pPr>
        <w:rPr>
          <w:rFonts w:cs="Arial"/>
          <w:sz w:val="28"/>
          <w:szCs w:val="28"/>
        </w:rPr>
      </w:pPr>
    </w:p>
    <w:p w:rsidR="00F808BD" w:rsidRPr="00F808BD" w:rsidRDefault="00F808BD" w:rsidP="00F808BD">
      <w:pPr>
        <w:rPr>
          <w:rFonts w:cs="Arial"/>
          <w:sz w:val="28"/>
          <w:szCs w:val="28"/>
        </w:rPr>
      </w:pPr>
      <w:r w:rsidRPr="00F808BD">
        <w:rPr>
          <w:rFonts w:cs="Arial"/>
          <w:sz w:val="28"/>
          <w:szCs w:val="28"/>
        </w:rPr>
        <w:t>Any survivorships or successions occurring before 3</w:t>
      </w:r>
      <w:r w:rsidRPr="00F808BD">
        <w:rPr>
          <w:rFonts w:cs="Arial"/>
          <w:sz w:val="28"/>
          <w:szCs w:val="28"/>
          <w:vertAlign w:val="superscript"/>
        </w:rPr>
        <w:t>rd</w:t>
      </w:r>
      <w:r w:rsidRPr="00F808BD">
        <w:rPr>
          <w:rFonts w:cs="Arial"/>
          <w:sz w:val="28"/>
          <w:szCs w:val="28"/>
        </w:rPr>
        <w:t xml:space="preserve"> October 1980 are not counted as successions, as they pre-date the relevant legislation.</w:t>
      </w:r>
    </w:p>
    <w:p w:rsidR="00F808BD" w:rsidRDefault="00F808BD" w:rsidP="00F808BD">
      <w:pPr>
        <w:rPr>
          <w:rFonts w:cs="Arial"/>
          <w:b/>
          <w:sz w:val="28"/>
          <w:szCs w:val="28"/>
        </w:rPr>
      </w:pPr>
    </w:p>
    <w:p w:rsidR="008049C1" w:rsidRPr="00CC758B" w:rsidRDefault="008049C1" w:rsidP="008049C1">
      <w:pPr>
        <w:pStyle w:val="Default"/>
        <w:rPr>
          <w:b/>
          <w:bCs/>
          <w:color w:val="auto"/>
          <w:sz w:val="28"/>
          <w:szCs w:val="28"/>
        </w:rPr>
      </w:pPr>
      <w:r w:rsidRPr="00CC758B">
        <w:rPr>
          <w:b/>
          <w:bCs/>
          <w:color w:val="auto"/>
          <w:sz w:val="28"/>
          <w:szCs w:val="28"/>
        </w:rPr>
        <w:t xml:space="preserve">Who can </w:t>
      </w:r>
      <w:proofErr w:type="gramStart"/>
      <w:r w:rsidR="000A39C8">
        <w:rPr>
          <w:b/>
          <w:bCs/>
          <w:color w:val="auto"/>
          <w:sz w:val="28"/>
          <w:szCs w:val="28"/>
        </w:rPr>
        <w:t>S</w:t>
      </w:r>
      <w:r w:rsidRPr="00CC758B">
        <w:rPr>
          <w:b/>
          <w:bCs/>
          <w:color w:val="auto"/>
          <w:sz w:val="28"/>
          <w:szCs w:val="28"/>
        </w:rPr>
        <w:t>ucceed</w:t>
      </w:r>
      <w:proofErr w:type="gramEnd"/>
      <w:r w:rsidRPr="00CC758B">
        <w:rPr>
          <w:b/>
          <w:bCs/>
          <w:color w:val="auto"/>
          <w:sz w:val="28"/>
          <w:szCs w:val="28"/>
        </w:rPr>
        <w:t xml:space="preserve">? </w:t>
      </w:r>
    </w:p>
    <w:p w:rsidR="002A5530" w:rsidRPr="00CC758B" w:rsidRDefault="002A5530" w:rsidP="008049C1">
      <w:pPr>
        <w:pStyle w:val="Default"/>
        <w:rPr>
          <w:color w:val="auto"/>
          <w:sz w:val="28"/>
          <w:szCs w:val="28"/>
        </w:rPr>
      </w:pPr>
    </w:p>
    <w:p w:rsidR="00737FED" w:rsidRPr="00737FED" w:rsidRDefault="00737FED" w:rsidP="000A39C8">
      <w:pPr>
        <w:rPr>
          <w:rFonts w:cs="Arial"/>
          <w:sz w:val="28"/>
          <w:szCs w:val="28"/>
        </w:rPr>
      </w:pPr>
      <w:r w:rsidRPr="00737FED">
        <w:rPr>
          <w:rFonts w:cs="Arial"/>
          <w:sz w:val="28"/>
          <w:szCs w:val="28"/>
        </w:rPr>
        <w:t xml:space="preserve">For family members, the onus lies with the potential successor to </w:t>
      </w:r>
      <w:r w:rsidR="000A39C8">
        <w:rPr>
          <w:rFonts w:cs="Arial"/>
          <w:sz w:val="28"/>
          <w:szCs w:val="28"/>
        </w:rPr>
        <w:t>p</w:t>
      </w:r>
      <w:r w:rsidRPr="00737FED">
        <w:rPr>
          <w:rFonts w:cs="Arial"/>
          <w:sz w:val="28"/>
          <w:szCs w:val="28"/>
        </w:rPr>
        <w:t xml:space="preserve">rove </w:t>
      </w:r>
      <w:r w:rsidR="000A39C8">
        <w:rPr>
          <w:rFonts w:cs="Arial"/>
          <w:sz w:val="28"/>
          <w:szCs w:val="28"/>
        </w:rPr>
        <w:t>t</w:t>
      </w:r>
      <w:r w:rsidRPr="00737FED">
        <w:rPr>
          <w:rFonts w:cs="Arial"/>
          <w:sz w:val="28"/>
          <w:szCs w:val="28"/>
        </w:rPr>
        <w:t xml:space="preserve">hat </w:t>
      </w:r>
      <w:r w:rsidR="00271DE3">
        <w:rPr>
          <w:rFonts w:cs="Arial"/>
          <w:sz w:val="28"/>
          <w:szCs w:val="28"/>
        </w:rPr>
        <w:t xml:space="preserve">they </w:t>
      </w:r>
      <w:r w:rsidRPr="00737FED">
        <w:rPr>
          <w:rFonts w:cs="Arial"/>
          <w:sz w:val="28"/>
          <w:szCs w:val="28"/>
        </w:rPr>
        <w:t>meet the principal home and the twelve month residency requirement for succession.</w:t>
      </w:r>
    </w:p>
    <w:p w:rsidR="00737FED" w:rsidRPr="00737FED" w:rsidRDefault="00737FED" w:rsidP="00737FED">
      <w:pPr>
        <w:ind w:left="540" w:hanging="540"/>
        <w:rPr>
          <w:rFonts w:cs="Arial"/>
          <w:sz w:val="28"/>
          <w:szCs w:val="28"/>
        </w:rPr>
      </w:pPr>
    </w:p>
    <w:p w:rsidR="00737FED" w:rsidRPr="00737FED" w:rsidRDefault="00737FED" w:rsidP="000A39C8">
      <w:pPr>
        <w:rPr>
          <w:rFonts w:cs="Arial"/>
          <w:sz w:val="28"/>
          <w:szCs w:val="28"/>
        </w:rPr>
      </w:pPr>
      <w:r w:rsidRPr="00737FED">
        <w:rPr>
          <w:rFonts w:cs="Arial"/>
          <w:sz w:val="28"/>
          <w:szCs w:val="28"/>
        </w:rPr>
        <w:t>There is no residency requirement for a successor spouse or civil partner.</w:t>
      </w:r>
    </w:p>
    <w:p w:rsidR="00737FED" w:rsidRPr="00737FED" w:rsidRDefault="00737FED" w:rsidP="00737FED">
      <w:pPr>
        <w:rPr>
          <w:rFonts w:cs="Arial"/>
          <w:sz w:val="28"/>
          <w:szCs w:val="28"/>
        </w:rPr>
      </w:pPr>
    </w:p>
    <w:p w:rsidR="00737FED" w:rsidRDefault="00737FED" w:rsidP="000A39C8">
      <w:pPr>
        <w:rPr>
          <w:rFonts w:cs="Arial"/>
          <w:sz w:val="28"/>
          <w:szCs w:val="28"/>
        </w:rPr>
      </w:pPr>
      <w:r w:rsidRPr="00737FED">
        <w:rPr>
          <w:rFonts w:cs="Arial"/>
          <w:sz w:val="28"/>
          <w:szCs w:val="28"/>
        </w:rPr>
        <w:t>A temporary absence from the property by the potential successor or exclusion under a court order, does not preclude the ‘only or principal home’ condition being filled.</w:t>
      </w:r>
    </w:p>
    <w:p w:rsidR="00271DE3" w:rsidRDefault="00271DE3" w:rsidP="000A39C8">
      <w:pPr>
        <w:rPr>
          <w:rFonts w:cs="Arial"/>
          <w:sz w:val="28"/>
          <w:szCs w:val="28"/>
        </w:rPr>
      </w:pPr>
    </w:p>
    <w:p w:rsidR="00737FED" w:rsidRPr="00737FED" w:rsidRDefault="00737FED" w:rsidP="000A39C8">
      <w:pPr>
        <w:rPr>
          <w:rFonts w:cs="Arial"/>
          <w:sz w:val="28"/>
          <w:szCs w:val="28"/>
        </w:rPr>
      </w:pPr>
      <w:r w:rsidRPr="00737FED">
        <w:rPr>
          <w:rFonts w:cs="Arial"/>
          <w:sz w:val="28"/>
          <w:szCs w:val="28"/>
        </w:rPr>
        <w:t>Members of the family are defined in Section 113 of the Housing Act 1985 as:</w:t>
      </w:r>
    </w:p>
    <w:p w:rsidR="00737FED" w:rsidRPr="00737FED" w:rsidRDefault="00737FED" w:rsidP="00737FED">
      <w:pPr>
        <w:ind w:left="360"/>
        <w:rPr>
          <w:rFonts w:cs="Arial"/>
          <w:sz w:val="28"/>
          <w:szCs w:val="28"/>
        </w:rPr>
      </w:pPr>
    </w:p>
    <w:p w:rsidR="000A39C8" w:rsidRDefault="00737FED" w:rsidP="00271DE3">
      <w:pPr>
        <w:pStyle w:val="ListParagraph"/>
        <w:numPr>
          <w:ilvl w:val="0"/>
          <w:numId w:val="12"/>
        </w:numPr>
        <w:rPr>
          <w:rFonts w:cs="Arial"/>
          <w:sz w:val="28"/>
          <w:szCs w:val="28"/>
        </w:rPr>
      </w:pPr>
      <w:r w:rsidRPr="00271DE3">
        <w:rPr>
          <w:rFonts w:cs="Arial"/>
          <w:sz w:val="28"/>
          <w:szCs w:val="28"/>
        </w:rPr>
        <w:t>parents, grandparents, children, grandchildren, siblings, uncles, aunts, nephews &amp; nieces, including step-relation, half-relation &amp; illegitimate children and persons living together as husband &amp; wife or as civil partners</w:t>
      </w:r>
      <w:r w:rsidR="000A39C8" w:rsidRPr="00271DE3">
        <w:rPr>
          <w:rFonts w:cs="Arial"/>
          <w:sz w:val="28"/>
          <w:szCs w:val="28"/>
        </w:rPr>
        <w:t>.</w:t>
      </w:r>
    </w:p>
    <w:p w:rsidR="00271DE3" w:rsidRDefault="00271DE3" w:rsidP="00271DE3">
      <w:pPr>
        <w:rPr>
          <w:rFonts w:cs="Arial"/>
          <w:sz w:val="28"/>
          <w:szCs w:val="28"/>
        </w:rPr>
      </w:pPr>
    </w:p>
    <w:p w:rsidR="00271DE3" w:rsidRPr="00271DE3" w:rsidRDefault="00271DE3" w:rsidP="00271DE3">
      <w:pPr>
        <w:rPr>
          <w:rFonts w:cs="Arial"/>
          <w:sz w:val="28"/>
          <w:szCs w:val="28"/>
        </w:rPr>
      </w:pPr>
    </w:p>
    <w:p w:rsidR="00737FED" w:rsidRPr="00737FED" w:rsidRDefault="00737FED" w:rsidP="000A39C8">
      <w:pPr>
        <w:rPr>
          <w:rFonts w:cs="Arial"/>
          <w:b/>
          <w:sz w:val="28"/>
          <w:szCs w:val="28"/>
        </w:rPr>
      </w:pPr>
      <w:r w:rsidRPr="00737FED">
        <w:rPr>
          <w:rFonts w:cs="Arial"/>
          <w:b/>
          <w:sz w:val="28"/>
          <w:szCs w:val="28"/>
        </w:rPr>
        <w:t>No</w:t>
      </w:r>
      <w:r w:rsidR="00EB3B07">
        <w:rPr>
          <w:rFonts w:cs="Arial"/>
          <w:b/>
          <w:sz w:val="28"/>
          <w:szCs w:val="28"/>
        </w:rPr>
        <w:t>-</w:t>
      </w:r>
      <w:r w:rsidRPr="00737FED">
        <w:rPr>
          <w:rFonts w:cs="Arial"/>
          <w:b/>
          <w:sz w:val="28"/>
          <w:szCs w:val="28"/>
        </w:rPr>
        <w:t xml:space="preserve">one </w:t>
      </w:r>
      <w:r w:rsidR="000A39C8">
        <w:rPr>
          <w:rFonts w:cs="Arial"/>
          <w:b/>
          <w:sz w:val="28"/>
          <w:szCs w:val="28"/>
        </w:rPr>
        <w:t>E</w:t>
      </w:r>
      <w:r w:rsidRPr="00737FED">
        <w:rPr>
          <w:rFonts w:cs="Arial"/>
          <w:b/>
          <w:sz w:val="28"/>
          <w:szCs w:val="28"/>
        </w:rPr>
        <w:t xml:space="preserve">ntitled to </w:t>
      </w:r>
      <w:r w:rsidR="000A39C8">
        <w:rPr>
          <w:rFonts w:cs="Arial"/>
          <w:b/>
          <w:sz w:val="28"/>
          <w:szCs w:val="28"/>
        </w:rPr>
        <w:t>S</w:t>
      </w:r>
      <w:r w:rsidRPr="00737FED">
        <w:rPr>
          <w:rFonts w:cs="Arial"/>
          <w:b/>
          <w:sz w:val="28"/>
          <w:szCs w:val="28"/>
        </w:rPr>
        <w:t xml:space="preserve">ucceed to </w:t>
      </w:r>
      <w:r w:rsidR="000A39C8">
        <w:rPr>
          <w:rFonts w:cs="Arial"/>
          <w:b/>
          <w:sz w:val="28"/>
          <w:szCs w:val="28"/>
        </w:rPr>
        <w:t>the T</w:t>
      </w:r>
      <w:r w:rsidRPr="00737FED">
        <w:rPr>
          <w:rFonts w:cs="Arial"/>
          <w:b/>
          <w:sz w:val="28"/>
          <w:szCs w:val="28"/>
        </w:rPr>
        <w:t xml:space="preserve">enancy </w:t>
      </w:r>
    </w:p>
    <w:p w:rsidR="00737FED" w:rsidRPr="00737FED" w:rsidRDefault="00737FED" w:rsidP="00737FED">
      <w:pPr>
        <w:rPr>
          <w:rFonts w:cs="Arial"/>
          <w:b/>
          <w:sz w:val="28"/>
          <w:szCs w:val="28"/>
        </w:rPr>
      </w:pPr>
    </w:p>
    <w:p w:rsidR="00737FED" w:rsidRDefault="00737FED" w:rsidP="000A39C8">
      <w:pPr>
        <w:rPr>
          <w:rFonts w:cs="Arial"/>
          <w:sz w:val="28"/>
          <w:szCs w:val="28"/>
        </w:rPr>
      </w:pPr>
      <w:r w:rsidRPr="00737FED">
        <w:rPr>
          <w:rFonts w:cs="Arial"/>
          <w:sz w:val="28"/>
          <w:szCs w:val="28"/>
        </w:rPr>
        <w:t xml:space="preserve">When a tenant dies and there is no one entitled to succeed and there is no property transfer order application pending, the tenancy automatically ceases to be secure and can not be made secure </w:t>
      </w:r>
    </w:p>
    <w:p w:rsidR="007A6A30" w:rsidRPr="00737FED" w:rsidRDefault="007A6A30" w:rsidP="00737FED">
      <w:pPr>
        <w:rPr>
          <w:rFonts w:cs="Arial"/>
          <w:sz w:val="28"/>
          <w:szCs w:val="28"/>
        </w:rPr>
      </w:pPr>
    </w:p>
    <w:p w:rsidR="00737FED" w:rsidRDefault="000A39C8" w:rsidP="000A39C8">
      <w:pPr>
        <w:tabs>
          <w:tab w:val="left" w:pos="540"/>
        </w:tabs>
        <w:rPr>
          <w:rFonts w:cs="Arial"/>
          <w:sz w:val="28"/>
          <w:szCs w:val="28"/>
        </w:rPr>
      </w:pPr>
      <w:r>
        <w:rPr>
          <w:rFonts w:cs="Arial"/>
          <w:sz w:val="28"/>
          <w:szCs w:val="28"/>
        </w:rPr>
        <w:t xml:space="preserve">The </w:t>
      </w:r>
      <w:r w:rsidR="00737FED" w:rsidRPr="00737FED">
        <w:rPr>
          <w:rFonts w:cs="Arial"/>
          <w:sz w:val="28"/>
          <w:szCs w:val="28"/>
        </w:rPr>
        <w:t xml:space="preserve">tenancy does not end on death and the landlord is not entitled to possession of the property while the tenancy is still in existence.  The tenancy must be brought to an end by service of a Notice to Quit.  </w:t>
      </w:r>
    </w:p>
    <w:p w:rsidR="007A6A30" w:rsidRDefault="007A6A30" w:rsidP="00737FED">
      <w:pPr>
        <w:tabs>
          <w:tab w:val="left" w:pos="540"/>
        </w:tabs>
        <w:rPr>
          <w:rFonts w:cs="Arial"/>
          <w:sz w:val="28"/>
          <w:szCs w:val="28"/>
        </w:rPr>
      </w:pPr>
    </w:p>
    <w:p w:rsidR="000A39C8" w:rsidRPr="00CC758B" w:rsidRDefault="000A39C8" w:rsidP="000A39C8">
      <w:pPr>
        <w:rPr>
          <w:rFonts w:cs="Arial"/>
          <w:sz w:val="28"/>
          <w:szCs w:val="28"/>
        </w:rPr>
      </w:pPr>
      <w:r w:rsidRPr="00CC758B">
        <w:rPr>
          <w:rFonts w:cs="Arial"/>
          <w:sz w:val="28"/>
          <w:szCs w:val="28"/>
        </w:rPr>
        <w:t xml:space="preserve">In cases where there is no statutory or contractual right to succeed.  Winchester City Council may in exceptional circumstances; where for example there are dependant children or vulnerable adults who would otherwise be statutorily homeless; agree to rehouse the household or grant a new tenancy. </w:t>
      </w:r>
    </w:p>
    <w:p w:rsidR="00737FED" w:rsidRPr="00CC758B" w:rsidRDefault="00737FED" w:rsidP="00737FED">
      <w:pPr>
        <w:tabs>
          <w:tab w:val="left" w:pos="540"/>
        </w:tabs>
        <w:rPr>
          <w:rFonts w:cs="Arial"/>
          <w:b/>
          <w:sz w:val="28"/>
          <w:szCs w:val="28"/>
        </w:rPr>
      </w:pPr>
    </w:p>
    <w:p w:rsidR="00F808BD" w:rsidRPr="00F808BD" w:rsidRDefault="00F808BD" w:rsidP="000A39C8">
      <w:pPr>
        <w:rPr>
          <w:rFonts w:cs="Arial"/>
          <w:b/>
          <w:sz w:val="28"/>
          <w:szCs w:val="28"/>
        </w:rPr>
      </w:pPr>
      <w:r w:rsidRPr="00F808BD">
        <w:rPr>
          <w:rFonts w:cs="Arial"/>
          <w:b/>
          <w:sz w:val="28"/>
          <w:szCs w:val="28"/>
        </w:rPr>
        <w:t xml:space="preserve">Termination of </w:t>
      </w:r>
      <w:r w:rsidR="000A39C8">
        <w:rPr>
          <w:rFonts w:cs="Arial"/>
          <w:b/>
          <w:sz w:val="28"/>
          <w:szCs w:val="28"/>
        </w:rPr>
        <w:t>T</w:t>
      </w:r>
      <w:r w:rsidRPr="00F808BD">
        <w:rPr>
          <w:rFonts w:cs="Arial"/>
          <w:b/>
          <w:sz w:val="28"/>
          <w:szCs w:val="28"/>
        </w:rPr>
        <w:t xml:space="preserve">enancy by </w:t>
      </w:r>
      <w:r w:rsidR="000A39C8">
        <w:rPr>
          <w:rFonts w:cs="Arial"/>
          <w:b/>
          <w:sz w:val="28"/>
          <w:szCs w:val="28"/>
        </w:rPr>
        <w:t>N</w:t>
      </w:r>
      <w:r w:rsidRPr="00F808BD">
        <w:rPr>
          <w:rFonts w:cs="Arial"/>
          <w:b/>
          <w:sz w:val="28"/>
          <w:szCs w:val="28"/>
        </w:rPr>
        <w:t>ext-of-</w:t>
      </w:r>
      <w:r w:rsidR="000A39C8">
        <w:rPr>
          <w:rFonts w:cs="Arial"/>
          <w:b/>
          <w:sz w:val="28"/>
          <w:szCs w:val="28"/>
        </w:rPr>
        <w:t>K</w:t>
      </w:r>
      <w:r w:rsidRPr="00F808BD">
        <w:rPr>
          <w:rFonts w:cs="Arial"/>
          <w:b/>
          <w:sz w:val="28"/>
          <w:szCs w:val="28"/>
        </w:rPr>
        <w:t>in</w:t>
      </w:r>
    </w:p>
    <w:p w:rsidR="00F808BD" w:rsidRPr="00F808BD" w:rsidRDefault="00F808BD" w:rsidP="00F808BD">
      <w:pPr>
        <w:ind w:left="540"/>
        <w:rPr>
          <w:rFonts w:cs="Arial"/>
          <w:b/>
          <w:sz w:val="28"/>
          <w:szCs w:val="28"/>
        </w:rPr>
      </w:pPr>
    </w:p>
    <w:p w:rsidR="00F808BD" w:rsidRDefault="00F808BD" w:rsidP="000A39C8">
      <w:pPr>
        <w:rPr>
          <w:rFonts w:cs="Arial"/>
          <w:sz w:val="28"/>
          <w:szCs w:val="28"/>
        </w:rPr>
      </w:pPr>
      <w:r w:rsidRPr="00F808BD">
        <w:rPr>
          <w:rFonts w:cs="Arial"/>
          <w:sz w:val="28"/>
          <w:szCs w:val="28"/>
        </w:rPr>
        <w:t xml:space="preserve">If a sole tenant passes away and there is no one who qualifies to succeed to the </w:t>
      </w:r>
      <w:proofErr w:type="gramStart"/>
      <w:r w:rsidRPr="00F808BD">
        <w:rPr>
          <w:rFonts w:cs="Arial"/>
          <w:sz w:val="28"/>
          <w:szCs w:val="28"/>
        </w:rPr>
        <w:t>tenancy</w:t>
      </w:r>
      <w:r w:rsidR="005014B0">
        <w:rPr>
          <w:rFonts w:cs="Arial"/>
          <w:sz w:val="28"/>
          <w:szCs w:val="28"/>
        </w:rPr>
        <w:t>,</w:t>
      </w:r>
      <w:proofErr w:type="gramEnd"/>
      <w:r w:rsidR="005014B0">
        <w:rPr>
          <w:rFonts w:cs="Arial"/>
          <w:sz w:val="28"/>
          <w:szCs w:val="28"/>
        </w:rPr>
        <w:t xml:space="preserve"> </w:t>
      </w:r>
      <w:r w:rsidRPr="00F808BD">
        <w:rPr>
          <w:rFonts w:cs="Arial"/>
          <w:sz w:val="28"/>
          <w:szCs w:val="28"/>
        </w:rPr>
        <w:t>or no right of succession</w:t>
      </w:r>
      <w:r w:rsidR="005014B0">
        <w:rPr>
          <w:rFonts w:cs="Arial"/>
          <w:sz w:val="28"/>
          <w:szCs w:val="28"/>
        </w:rPr>
        <w:t xml:space="preserve"> and </w:t>
      </w:r>
      <w:r w:rsidRPr="00F808BD">
        <w:rPr>
          <w:rFonts w:cs="Arial"/>
          <w:sz w:val="28"/>
          <w:szCs w:val="28"/>
        </w:rPr>
        <w:t>there is no one left in occupation at the property, the tenancy can be brought to an end by the deceased tenant’s next-of-kin giving four weeks’ notice to end the tenancy.  This must be done in writing to the Voids &amp; Allocations Officers</w:t>
      </w:r>
      <w:r w:rsidR="00EB3B07">
        <w:rPr>
          <w:rFonts w:cs="Arial"/>
          <w:sz w:val="28"/>
          <w:szCs w:val="28"/>
        </w:rPr>
        <w:t xml:space="preserve">, supplying a </w:t>
      </w:r>
      <w:r w:rsidRPr="00F808BD">
        <w:rPr>
          <w:rFonts w:cs="Arial"/>
          <w:sz w:val="28"/>
          <w:szCs w:val="28"/>
        </w:rPr>
        <w:t xml:space="preserve">copy of the death certificate.  </w:t>
      </w:r>
    </w:p>
    <w:p w:rsidR="00271DE3" w:rsidRPr="00F808BD" w:rsidRDefault="00271DE3" w:rsidP="000A39C8">
      <w:pPr>
        <w:rPr>
          <w:rFonts w:cs="Arial"/>
          <w:sz w:val="28"/>
          <w:szCs w:val="28"/>
        </w:rPr>
      </w:pPr>
    </w:p>
    <w:p w:rsidR="00737FED" w:rsidRPr="00737FED" w:rsidRDefault="00737FED" w:rsidP="000A39C8">
      <w:pPr>
        <w:rPr>
          <w:rFonts w:cs="Arial"/>
          <w:b/>
          <w:sz w:val="28"/>
          <w:szCs w:val="28"/>
        </w:rPr>
      </w:pPr>
      <w:r w:rsidRPr="00737FED">
        <w:rPr>
          <w:rFonts w:cs="Arial"/>
          <w:b/>
          <w:sz w:val="28"/>
          <w:szCs w:val="28"/>
        </w:rPr>
        <w:t xml:space="preserve">Survivorship </w:t>
      </w:r>
      <w:r w:rsidR="000A39C8">
        <w:rPr>
          <w:rFonts w:cs="Arial"/>
          <w:b/>
          <w:sz w:val="28"/>
          <w:szCs w:val="28"/>
        </w:rPr>
        <w:t>R</w:t>
      </w:r>
      <w:r w:rsidRPr="00737FED">
        <w:rPr>
          <w:rFonts w:cs="Arial"/>
          <w:b/>
          <w:sz w:val="28"/>
          <w:szCs w:val="28"/>
        </w:rPr>
        <w:t xml:space="preserve">ules, </w:t>
      </w:r>
      <w:r w:rsidR="000A39C8">
        <w:rPr>
          <w:rFonts w:cs="Arial"/>
          <w:b/>
          <w:sz w:val="28"/>
          <w:szCs w:val="28"/>
        </w:rPr>
        <w:t>R</w:t>
      </w:r>
      <w:r w:rsidRPr="00737FED">
        <w:rPr>
          <w:rFonts w:cs="Arial"/>
          <w:b/>
          <w:sz w:val="28"/>
          <w:szCs w:val="28"/>
        </w:rPr>
        <w:t xml:space="preserve">elating to </w:t>
      </w:r>
      <w:r w:rsidR="000A39C8">
        <w:rPr>
          <w:rFonts w:cs="Arial"/>
          <w:b/>
          <w:sz w:val="28"/>
          <w:szCs w:val="28"/>
        </w:rPr>
        <w:t>J</w:t>
      </w:r>
      <w:r w:rsidRPr="00737FED">
        <w:rPr>
          <w:rFonts w:cs="Arial"/>
          <w:b/>
          <w:sz w:val="28"/>
          <w:szCs w:val="28"/>
        </w:rPr>
        <w:t xml:space="preserve">oint </w:t>
      </w:r>
      <w:r w:rsidR="000A39C8">
        <w:rPr>
          <w:rFonts w:cs="Arial"/>
          <w:b/>
          <w:sz w:val="28"/>
          <w:szCs w:val="28"/>
        </w:rPr>
        <w:t>T</w:t>
      </w:r>
      <w:r w:rsidRPr="00737FED">
        <w:rPr>
          <w:rFonts w:cs="Arial"/>
          <w:b/>
          <w:sz w:val="28"/>
          <w:szCs w:val="28"/>
        </w:rPr>
        <w:t>enancies</w:t>
      </w:r>
    </w:p>
    <w:p w:rsidR="00737FED" w:rsidRPr="00737FED" w:rsidRDefault="00737FED" w:rsidP="00737FED">
      <w:pPr>
        <w:ind w:left="360" w:firstLine="180"/>
        <w:rPr>
          <w:rFonts w:cs="Arial"/>
          <w:b/>
          <w:sz w:val="28"/>
          <w:szCs w:val="28"/>
        </w:rPr>
      </w:pPr>
    </w:p>
    <w:p w:rsidR="00737FED" w:rsidRDefault="00737FED" w:rsidP="000A39C8">
      <w:pPr>
        <w:rPr>
          <w:rFonts w:cs="Arial"/>
          <w:sz w:val="28"/>
          <w:szCs w:val="28"/>
        </w:rPr>
      </w:pPr>
      <w:r w:rsidRPr="00737FED">
        <w:rPr>
          <w:rFonts w:cs="Arial"/>
          <w:sz w:val="28"/>
          <w:szCs w:val="28"/>
        </w:rPr>
        <w:t xml:space="preserve">Where there is a joint tenancy, held by two persons, and one of the joint tenants dies, the tenancy passes automatically to the remaining joint tenant through the common law concept of survivorship.  The tenant can not succeed to the tenancy, as </w:t>
      </w:r>
      <w:r w:rsidR="00EB3B07">
        <w:rPr>
          <w:rFonts w:cs="Arial"/>
          <w:sz w:val="28"/>
          <w:szCs w:val="28"/>
        </w:rPr>
        <w:t xml:space="preserve">they are </w:t>
      </w:r>
      <w:r w:rsidRPr="00737FED">
        <w:rPr>
          <w:rFonts w:cs="Arial"/>
          <w:sz w:val="28"/>
          <w:szCs w:val="28"/>
        </w:rPr>
        <w:t>already a tenant.  Where only one right of succession is allowed, survivorship will count as such, and therefore, no further rights to succession exist.</w:t>
      </w:r>
    </w:p>
    <w:p w:rsidR="00666FAD" w:rsidRDefault="00666FAD" w:rsidP="000A39C8">
      <w:pPr>
        <w:rPr>
          <w:rFonts w:cs="Arial"/>
          <w:sz w:val="28"/>
          <w:szCs w:val="28"/>
        </w:rPr>
      </w:pPr>
    </w:p>
    <w:sectPr w:rsidR="00666FAD" w:rsidSect="007A6A3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A1E" w:rsidRDefault="00B67A1E" w:rsidP="00CC758B">
      <w:r>
        <w:separator/>
      </w:r>
    </w:p>
  </w:endnote>
  <w:endnote w:type="continuationSeparator" w:id="0">
    <w:p w:rsidR="00B67A1E" w:rsidRDefault="00B67A1E" w:rsidP="00CC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58B" w:rsidRDefault="00CC758B">
    <w:pPr>
      <w:pStyle w:val="Footer"/>
    </w:pPr>
    <w:r>
      <w:t>Succession Document</w:t>
    </w:r>
    <w:r>
      <w:tab/>
      <w:t xml:space="preserve">                                                                     February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A1E" w:rsidRDefault="00B67A1E" w:rsidP="00CC758B">
      <w:r>
        <w:separator/>
      </w:r>
    </w:p>
  </w:footnote>
  <w:footnote w:type="continuationSeparator" w:id="0">
    <w:p w:rsidR="00B67A1E" w:rsidRDefault="00B67A1E" w:rsidP="00CC7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517B"/>
    <w:multiLevelType w:val="hybridMultilevel"/>
    <w:tmpl w:val="42867A70"/>
    <w:lvl w:ilvl="0" w:tplc="75B06F06">
      <w:start w:val="1"/>
      <w:numFmt w:val="lowerLetter"/>
      <w:lvlText w:val="%1)"/>
      <w:lvlJc w:val="left"/>
      <w:pPr>
        <w:tabs>
          <w:tab w:val="num" w:pos="1080"/>
        </w:tabs>
        <w:ind w:left="1080" w:hanging="360"/>
      </w:pPr>
      <w:rPr>
        <w:rFonts w:ascii="Arial" w:eastAsia="Times New Roman" w:hAnsi="Arial" w:cs="Aria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12270605"/>
    <w:multiLevelType w:val="multilevel"/>
    <w:tmpl w:val="6E44B7E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E0D6B2E"/>
    <w:multiLevelType w:val="hybridMultilevel"/>
    <w:tmpl w:val="04F47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345E8B"/>
    <w:multiLevelType w:val="multilevel"/>
    <w:tmpl w:val="A0D807CC"/>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1F30D8C"/>
    <w:multiLevelType w:val="hybridMultilevel"/>
    <w:tmpl w:val="F0EE9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8215B2"/>
    <w:multiLevelType w:val="multilevel"/>
    <w:tmpl w:val="F69C7FA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F243768"/>
    <w:multiLevelType w:val="hybridMultilevel"/>
    <w:tmpl w:val="FBE64D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5FCC4EA9"/>
    <w:multiLevelType w:val="multilevel"/>
    <w:tmpl w:val="E5E6576A"/>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5826A2E"/>
    <w:multiLevelType w:val="hybridMultilevel"/>
    <w:tmpl w:val="D5F4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470DF5"/>
    <w:multiLevelType w:val="hybridMultilevel"/>
    <w:tmpl w:val="407647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72D51601"/>
    <w:multiLevelType w:val="hybridMultilevel"/>
    <w:tmpl w:val="9E76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671B01"/>
    <w:multiLevelType w:val="multilevel"/>
    <w:tmpl w:val="C00E5CF8"/>
    <w:lvl w:ilvl="0">
      <w:start w:val="3"/>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4"/>
  </w:num>
  <w:num w:numId="3">
    <w:abstractNumId w:val="0"/>
  </w:num>
  <w:num w:numId="4">
    <w:abstractNumId w:val="6"/>
  </w:num>
  <w:num w:numId="5">
    <w:abstractNumId w:val="3"/>
  </w:num>
  <w:num w:numId="6">
    <w:abstractNumId w:val="11"/>
  </w:num>
  <w:num w:numId="7">
    <w:abstractNumId w:val="1"/>
  </w:num>
  <w:num w:numId="8">
    <w:abstractNumId w:val="5"/>
  </w:num>
  <w:num w:numId="9">
    <w:abstractNumId w:val="7"/>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C1"/>
    <w:rsid w:val="000A39C8"/>
    <w:rsid w:val="0018323B"/>
    <w:rsid w:val="00271DE3"/>
    <w:rsid w:val="002A5530"/>
    <w:rsid w:val="005014B0"/>
    <w:rsid w:val="00666FAD"/>
    <w:rsid w:val="00737FED"/>
    <w:rsid w:val="007A6A30"/>
    <w:rsid w:val="008049C1"/>
    <w:rsid w:val="00A7343E"/>
    <w:rsid w:val="00B67A1E"/>
    <w:rsid w:val="00CC660C"/>
    <w:rsid w:val="00CC758B"/>
    <w:rsid w:val="00EB3B07"/>
    <w:rsid w:val="00F808BD"/>
    <w:rsid w:val="00F858B9"/>
    <w:rsid w:val="00FF5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FE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49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37FED"/>
    <w:pPr>
      <w:ind w:left="720"/>
      <w:contextualSpacing/>
    </w:pPr>
  </w:style>
  <w:style w:type="paragraph" w:styleId="Header">
    <w:name w:val="header"/>
    <w:basedOn w:val="Normal"/>
    <w:link w:val="HeaderChar"/>
    <w:uiPriority w:val="99"/>
    <w:unhideWhenUsed/>
    <w:rsid w:val="00CC758B"/>
    <w:pPr>
      <w:tabs>
        <w:tab w:val="center" w:pos="4513"/>
        <w:tab w:val="right" w:pos="9026"/>
      </w:tabs>
    </w:pPr>
  </w:style>
  <w:style w:type="character" w:customStyle="1" w:styleId="HeaderChar">
    <w:name w:val="Header Char"/>
    <w:basedOn w:val="DefaultParagraphFont"/>
    <w:link w:val="Header"/>
    <w:uiPriority w:val="99"/>
    <w:rsid w:val="00CC758B"/>
    <w:rPr>
      <w:rFonts w:ascii="Arial" w:eastAsia="Times New Roman" w:hAnsi="Arial" w:cs="Times New Roman"/>
      <w:sz w:val="24"/>
      <w:szCs w:val="24"/>
    </w:rPr>
  </w:style>
  <w:style w:type="paragraph" w:styleId="Footer">
    <w:name w:val="footer"/>
    <w:basedOn w:val="Normal"/>
    <w:link w:val="FooterChar"/>
    <w:uiPriority w:val="99"/>
    <w:unhideWhenUsed/>
    <w:rsid w:val="00CC758B"/>
    <w:pPr>
      <w:tabs>
        <w:tab w:val="center" w:pos="4513"/>
        <w:tab w:val="right" w:pos="9026"/>
      </w:tabs>
    </w:pPr>
  </w:style>
  <w:style w:type="character" w:customStyle="1" w:styleId="FooterChar">
    <w:name w:val="Footer Char"/>
    <w:basedOn w:val="DefaultParagraphFont"/>
    <w:link w:val="Footer"/>
    <w:uiPriority w:val="99"/>
    <w:rsid w:val="00CC758B"/>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7A6A30"/>
    <w:rPr>
      <w:rFonts w:ascii="Tahoma" w:hAnsi="Tahoma" w:cs="Tahoma"/>
      <w:sz w:val="16"/>
      <w:szCs w:val="16"/>
    </w:rPr>
  </w:style>
  <w:style w:type="character" w:customStyle="1" w:styleId="BalloonTextChar">
    <w:name w:val="Balloon Text Char"/>
    <w:basedOn w:val="DefaultParagraphFont"/>
    <w:link w:val="BalloonText"/>
    <w:uiPriority w:val="99"/>
    <w:semiHidden/>
    <w:rsid w:val="007A6A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FE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49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37FED"/>
    <w:pPr>
      <w:ind w:left="720"/>
      <w:contextualSpacing/>
    </w:pPr>
  </w:style>
  <w:style w:type="paragraph" w:styleId="Header">
    <w:name w:val="header"/>
    <w:basedOn w:val="Normal"/>
    <w:link w:val="HeaderChar"/>
    <w:uiPriority w:val="99"/>
    <w:unhideWhenUsed/>
    <w:rsid w:val="00CC758B"/>
    <w:pPr>
      <w:tabs>
        <w:tab w:val="center" w:pos="4513"/>
        <w:tab w:val="right" w:pos="9026"/>
      </w:tabs>
    </w:pPr>
  </w:style>
  <w:style w:type="character" w:customStyle="1" w:styleId="HeaderChar">
    <w:name w:val="Header Char"/>
    <w:basedOn w:val="DefaultParagraphFont"/>
    <w:link w:val="Header"/>
    <w:uiPriority w:val="99"/>
    <w:rsid w:val="00CC758B"/>
    <w:rPr>
      <w:rFonts w:ascii="Arial" w:eastAsia="Times New Roman" w:hAnsi="Arial" w:cs="Times New Roman"/>
      <w:sz w:val="24"/>
      <w:szCs w:val="24"/>
    </w:rPr>
  </w:style>
  <w:style w:type="paragraph" w:styleId="Footer">
    <w:name w:val="footer"/>
    <w:basedOn w:val="Normal"/>
    <w:link w:val="FooterChar"/>
    <w:uiPriority w:val="99"/>
    <w:unhideWhenUsed/>
    <w:rsid w:val="00CC758B"/>
    <w:pPr>
      <w:tabs>
        <w:tab w:val="center" w:pos="4513"/>
        <w:tab w:val="right" w:pos="9026"/>
      </w:tabs>
    </w:pPr>
  </w:style>
  <w:style w:type="character" w:customStyle="1" w:styleId="FooterChar">
    <w:name w:val="Footer Char"/>
    <w:basedOn w:val="DefaultParagraphFont"/>
    <w:link w:val="Footer"/>
    <w:uiPriority w:val="99"/>
    <w:rsid w:val="00CC758B"/>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7A6A30"/>
    <w:rPr>
      <w:rFonts w:ascii="Tahoma" w:hAnsi="Tahoma" w:cs="Tahoma"/>
      <w:sz w:val="16"/>
      <w:szCs w:val="16"/>
    </w:rPr>
  </w:style>
  <w:style w:type="character" w:customStyle="1" w:styleId="BalloonTextChar">
    <w:name w:val="Balloon Text Char"/>
    <w:basedOn w:val="DefaultParagraphFont"/>
    <w:link w:val="BalloonText"/>
    <w:uiPriority w:val="99"/>
    <w:semiHidden/>
    <w:rsid w:val="007A6A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27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870EB-54F6-4F0C-B46D-F1EE1625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ctxadmin</dc:creator>
  <cp:lastModifiedBy>ctxadmin</cp:lastModifiedBy>
  <cp:revision>2</cp:revision>
  <cp:lastPrinted>2017-02-20T14:01:00Z</cp:lastPrinted>
  <dcterms:created xsi:type="dcterms:W3CDTF">2017-03-02T09:46:00Z</dcterms:created>
  <dcterms:modified xsi:type="dcterms:W3CDTF">2017-03-02T09:46:00Z</dcterms:modified>
</cp:coreProperties>
</file>